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35" w:rsidRPr="00CB76B5" w:rsidRDefault="00875735" w:rsidP="00875735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765F85">
        <w:rPr>
          <w:rFonts w:cs="Calibri"/>
          <w:noProof/>
        </w:rPr>
        <w:fldChar w:fldCharType="begin"/>
      </w:r>
      <w:r w:rsidR="00765F85">
        <w:rPr>
          <w:rFonts w:cs="Calibri"/>
          <w:noProof/>
        </w:rPr>
        <w:instrText xml:space="preserve"> INCLUDEPICTURE  "cid:image008.png@01D398F3.BB1CAD50" \* MERGEFORMATINET </w:instrText>
      </w:r>
      <w:r w:rsidR="00765F85">
        <w:rPr>
          <w:rFonts w:cs="Calibri"/>
          <w:noProof/>
        </w:rPr>
        <w:fldChar w:fldCharType="separate"/>
      </w:r>
      <w:r w:rsidR="00307D9E">
        <w:rPr>
          <w:rFonts w:cs="Calibri"/>
          <w:noProof/>
        </w:rPr>
        <w:fldChar w:fldCharType="begin"/>
      </w:r>
      <w:r w:rsidR="00307D9E">
        <w:rPr>
          <w:rFonts w:cs="Calibri"/>
          <w:noProof/>
        </w:rPr>
        <w:instrText xml:space="preserve"> INCLUDEPICTURE  "cid:image008.png@01D398F3.BB1CAD50" \* MERGEFORMATINET </w:instrText>
      </w:r>
      <w:r w:rsidR="00307D9E">
        <w:rPr>
          <w:rFonts w:cs="Calibri"/>
          <w:noProof/>
        </w:rPr>
        <w:fldChar w:fldCharType="separate"/>
      </w:r>
      <w:r w:rsidR="003B589B">
        <w:rPr>
          <w:rFonts w:cs="Calibri"/>
          <w:noProof/>
        </w:rPr>
        <w:fldChar w:fldCharType="begin"/>
      </w:r>
      <w:r w:rsidR="003B589B">
        <w:rPr>
          <w:rFonts w:cs="Calibri"/>
          <w:noProof/>
        </w:rPr>
        <w:instrText xml:space="preserve"> INCLUDEPICTURE  "cid:image008.png@01D398F3.BB1CAD50" \* MERGEFORMATINET </w:instrText>
      </w:r>
      <w:r w:rsidR="003B589B">
        <w:rPr>
          <w:rFonts w:cs="Calibri"/>
          <w:noProof/>
        </w:rPr>
        <w:fldChar w:fldCharType="separate"/>
      </w:r>
      <w:r w:rsidR="00C10E10">
        <w:rPr>
          <w:rFonts w:cs="Calibri"/>
          <w:noProof/>
        </w:rPr>
        <w:fldChar w:fldCharType="begin"/>
      </w:r>
      <w:r w:rsidR="00C10E10">
        <w:rPr>
          <w:rFonts w:cs="Calibri"/>
          <w:noProof/>
        </w:rPr>
        <w:instrText xml:space="preserve"> </w:instrText>
      </w:r>
      <w:r w:rsidR="00C10E10">
        <w:rPr>
          <w:rFonts w:cs="Calibri"/>
          <w:noProof/>
        </w:rPr>
        <w:instrText>INCLUDEPICTURE  "cid:image008.png@01D398F3.BB1CAD50" \* MERGEFORMATINET</w:instrText>
      </w:r>
      <w:r w:rsidR="00C10E10">
        <w:rPr>
          <w:rFonts w:cs="Calibri"/>
          <w:noProof/>
        </w:rPr>
        <w:instrText xml:space="preserve"> </w:instrText>
      </w:r>
      <w:r w:rsidR="00C10E10">
        <w:rPr>
          <w:rFonts w:cs="Calibri"/>
          <w:noProof/>
        </w:rPr>
        <w:fldChar w:fldCharType="separate"/>
      </w:r>
      <w:r w:rsidR="000348BF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 w:rsidR="00C10E10">
        <w:rPr>
          <w:rFonts w:cs="Calibri"/>
          <w:noProof/>
        </w:rPr>
        <w:fldChar w:fldCharType="end"/>
      </w:r>
      <w:r w:rsidR="003B589B">
        <w:rPr>
          <w:rFonts w:cs="Calibri"/>
          <w:noProof/>
        </w:rPr>
        <w:fldChar w:fldCharType="end"/>
      </w:r>
      <w:r w:rsidR="00307D9E">
        <w:rPr>
          <w:rFonts w:cs="Calibri"/>
          <w:noProof/>
        </w:rPr>
        <w:fldChar w:fldCharType="end"/>
      </w:r>
      <w:r w:rsidR="00765F85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:rsidR="00875735" w:rsidRDefault="00875735" w:rsidP="00875735">
      <w:pPr>
        <w:pStyle w:val="Tytu"/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875735" w:rsidRDefault="00875735" w:rsidP="008757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75735" w:rsidRDefault="00875735" w:rsidP="0087573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875735" w:rsidRDefault="00875735" w:rsidP="00875735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0348BF">
        <w:rPr>
          <w:rFonts w:ascii="Arial" w:hAnsi="Arial" w:cs="Arial"/>
          <w:sz w:val="24"/>
          <w:szCs w:val="24"/>
        </w:rPr>
        <w:t>1/Z/20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0348BF">
        <w:rPr>
          <w:rFonts w:ascii="Arial" w:hAnsi="Arial" w:cs="Arial"/>
          <w:sz w:val="24"/>
          <w:szCs w:val="24"/>
        </w:rPr>
        <w:t>03.01.2020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875735" w:rsidRDefault="00875735" w:rsidP="00875735">
      <w:pPr>
        <w:jc w:val="center"/>
        <w:rPr>
          <w:rFonts w:ascii="Arial" w:hAnsi="Arial" w:cs="Arial"/>
          <w:sz w:val="32"/>
        </w:rPr>
      </w:pPr>
    </w:p>
    <w:p w:rsidR="00875735" w:rsidRDefault="00875735" w:rsidP="00875735">
      <w:pPr>
        <w:jc w:val="both"/>
        <w:rPr>
          <w:rFonts w:ascii="Arial" w:hAnsi="Arial" w:cs="Arial"/>
          <w:sz w:val="32"/>
        </w:rPr>
      </w:pPr>
    </w:p>
    <w:p w:rsidR="00875735" w:rsidRDefault="00875735" w:rsidP="0087573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875735" w:rsidRDefault="00875735" w:rsidP="00875735">
      <w:pPr>
        <w:jc w:val="center"/>
        <w:rPr>
          <w:rFonts w:ascii="Arial" w:hAnsi="Arial" w:cs="Arial"/>
          <w:sz w:val="28"/>
        </w:rPr>
      </w:pPr>
    </w:p>
    <w:p w:rsidR="00875735" w:rsidRDefault="00875735" w:rsidP="00875735">
      <w:pPr>
        <w:jc w:val="center"/>
        <w:rPr>
          <w:rFonts w:ascii="Arial" w:hAnsi="Arial" w:cs="Arial"/>
          <w:sz w:val="28"/>
        </w:rPr>
      </w:pPr>
    </w:p>
    <w:p w:rsidR="00875735" w:rsidRDefault="00875735" w:rsidP="0087573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875735" w:rsidRDefault="00875735" w:rsidP="00875735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:rsidR="00875735" w:rsidRDefault="00875735" w:rsidP="0087573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875735" w:rsidRDefault="00875735" w:rsidP="00875735">
      <w:pPr>
        <w:jc w:val="center"/>
        <w:rPr>
          <w:bCs/>
          <w:i/>
          <w:sz w:val="26"/>
          <w:szCs w:val="26"/>
        </w:rPr>
      </w:pPr>
    </w:p>
    <w:p w:rsidR="00875735" w:rsidRPr="00576188" w:rsidRDefault="00875735" w:rsidP="0087573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875735" w:rsidRDefault="00875735" w:rsidP="00875735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:rsidR="00875735" w:rsidRDefault="00875735" w:rsidP="00875735">
      <w:pPr>
        <w:jc w:val="both"/>
        <w:rPr>
          <w:rFonts w:ascii="Arial" w:hAnsi="Arial" w:cs="Arial"/>
          <w:sz w:val="40"/>
        </w:rPr>
      </w:pPr>
    </w:p>
    <w:p w:rsidR="00875735" w:rsidRDefault="00875735" w:rsidP="0087573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875735" w:rsidRDefault="00875735" w:rsidP="008757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875735" w:rsidRDefault="00875735" w:rsidP="00875735">
      <w:pPr>
        <w:jc w:val="both"/>
        <w:rPr>
          <w:rFonts w:ascii="Arial" w:hAnsi="Arial" w:cs="Arial"/>
          <w:b/>
          <w:sz w:val="28"/>
        </w:rPr>
      </w:pPr>
    </w:p>
    <w:p w:rsidR="00875735" w:rsidRDefault="00875735" w:rsidP="00875735">
      <w:pPr>
        <w:jc w:val="both"/>
        <w:rPr>
          <w:rFonts w:ascii="Arial" w:hAnsi="Arial" w:cs="Arial"/>
          <w:b/>
          <w:sz w:val="28"/>
        </w:rPr>
      </w:pPr>
    </w:p>
    <w:p w:rsidR="00875735" w:rsidRDefault="00875735" w:rsidP="00875735">
      <w:pPr>
        <w:jc w:val="both"/>
        <w:rPr>
          <w:rFonts w:ascii="Arial" w:hAnsi="Arial" w:cs="Arial"/>
          <w:b/>
          <w:sz w:val="28"/>
        </w:rPr>
      </w:pPr>
    </w:p>
    <w:p w:rsidR="00875735" w:rsidRDefault="00875735" w:rsidP="00875735">
      <w:pPr>
        <w:jc w:val="both"/>
        <w:rPr>
          <w:rFonts w:ascii="Arial" w:hAnsi="Arial" w:cs="Arial"/>
          <w:b/>
          <w:sz w:val="28"/>
        </w:rPr>
      </w:pPr>
    </w:p>
    <w:p w:rsidR="00875735" w:rsidRDefault="00875735" w:rsidP="00875735">
      <w:pPr>
        <w:jc w:val="both"/>
        <w:rPr>
          <w:rFonts w:ascii="Arial" w:hAnsi="Arial" w:cs="Arial"/>
          <w:b/>
          <w:sz w:val="28"/>
        </w:rPr>
      </w:pPr>
    </w:p>
    <w:p w:rsidR="00875735" w:rsidRDefault="00875735" w:rsidP="0087573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875735" w:rsidRDefault="00875735" w:rsidP="00875735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875735" w:rsidRDefault="00875735" w:rsidP="0087573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875735" w:rsidRDefault="00875735" w:rsidP="0087573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875735" w:rsidRDefault="00875735" w:rsidP="00875735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(4.1.-4.11.)  formularz cenowy</w:t>
      </w:r>
    </w:p>
    <w:p w:rsidR="00875735" w:rsidRDefault="00875735" w:rsidP="00875735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875735" w:rsidRDefault="00875735" w:rsidP="0087573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75735" w:rsidRPr="003B2285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4.11.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  <w:bCs/>
          <w:kern w:val="32"/>
        </w:rPr>
        <w:t xml:space="preserve">Zadanie nr 1: </w:t>
      </w:r>
      <w:r w:rsidR="00307D9E">
        <w:rPr>
          <w:rFonts w:ascii="Arial" w:hAnsi="Arial" w:cs="Arial"/>
          <w:bCs/>
          <w:kern w:val="32"/>
        </w:rPr>
        <w:t>O</w:t>
      </w:r>
      <w:r w:rsidR="00307D9E" w:rsidRPr="0089605D">
        <w:rPr>
          <w:rFonts w:ascii="Arial" w:hAnsi="Arial" w:cs="Arial"/>
          <w:bCs/>
          <w:kern w:val="32"/>
        </w:rPr>
        <w:t>dczynniki</w:t>
      </w:r>
      <w:r w:rsidRPr="0089605D">
        <w:rPr>
          <w:rFonts w:ascii="Arial" w:hAnsi="Arial" w:cs="Arial"/>
          <w:bCs/>
          <w:kern w:val="32"/>
        </w:rPr>
        <w:t>, m</w:t>
      </w:r>
      <w:r w:rsidRPr="0089605D">
        <w:rPr>
          <w:rFonts w:ascii="Arial" w:hAnsi="Arial" w:cs="Arial"/>
          <w:color w:val="000000"/>
          <w:shd w:val="clear" w:color="auto" w:fill="FFFFFF"/>
        </w:rPr>
        <w:t>arkery wielkości DNA/RNA.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  <w:bCs/>
          <w:kern w:val="32"/>
        </w:rPr>
        <w:t xml:space="preserve">Zadanie nr 2: </w:t>
      </w:r>
      <w:r w:rsidR="00307D9E">
        <w:rPr>
          <w:rFonts w:ascii="Arial" w:hAnsi="Arial" w:cs="Arial"/>
          <w:bCs/>
          <w:kern w:val="32"/>
        </w:rPr>
        <w:t>K</w:t>
      </w:r>
      <w:r w:rsidR="00307D9E" w:rsidRPr="0089605D">
        <w:rPr>
          <w:rFonts w:ascii="Arial" w:hAnsi="Arial" w:cs="Arial"/>
        </w:rPr>
        <w:t xml:space="preserve">ońcówki </w:t>
      </w:r>
      <w:r w:rsidRPr="0089605D">
        <w:rPr>
          <w:rFonts w:ascii="Arial" w:hAnsi="Arial" w:cs="Arial"/>
        </w:rPr>
        <w:t>z filtrami o czystości wymaganej w badaniach w obszarze biologii molekularnej.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  <w:bCs/>
          <w:kern w:val="32"/>
        </w:rPr>
      </w:pPr>
      <w:r w:rsidRPr="0089605D">
        <w:rPr>
          <w:rFonts w:ascii="Arial" w:hAnsi="Arial" w:cs="Arial"/>
        </w:rPr>
        <w:t xml:space="preserve">Zadanie nr 3: </w:t>
      </w:r>
      <w:r w:rsidR="00307D9E">
        <w:rPr>
          <w:rFonts w:ascii="Arial" w:hAnsi="Arial" w:cs="Arial"/>
          <w:bCs/>
          <w:kern w:val="32"/>
        </w:rPr>
        <w:t>P</w:t>
      </w:r>
      <w:r w:rsidR="00307D9E" w:rsidRPr="0089605D">
        <w:rPr>
          <w:rFonts w:ascii="Arial" w:hAnsi="Arial" w:cs="Arial"/>
          <w:bCs/>
          <w:kern w:val="32"/>
        </w:rPr>
        <w:t xml:space="preserve">robówki </w:t>
      </w:r>
      <w:r w:rsidRPr="0089605D">
        <w:rPr>
          <w:rFonts w:ascii="Arial" w:hAnsi="Arial" w:cs="Arial"/>
          <w:bCs/>
          <w:kern w:val="32"/>
        </w:rPr>
        <w:t>i odczynniki.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</w:rPr>
        <w:t xml:space="preserve">Zadanie nr 4: </w:t>
      </w:r>
      <w:r w:rsidR="00307D9E">
        <w:rPr>
          <w:rFonts w:ascii="Arial" w:hAnsi="Arial" w:cs="Arial"/>
        </w:rPr>
        <w:t>S</w:t>
      </w:r>
      <w:r w:rsidR="00307D9E" w:rsidRPr="0089605D">
        <w:rPr>
          <w:rFonts w:ascii="Arial" w:hAnsi="Arial" w:cs="Arial"/>
        </w:rPr>
        <w:t>tatywy</w:t>
      </w:r>
      <w:r w:rsidRPr="0089605D">
        <w:rPr>
          <w:rFonts w:ascii="Arial" w:hAnsi="Arial" w:cs="Arial"/>
        </w:rPr>
        <w:t>, ściereczki, papier czyszczący.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</w:rPr>
        <w:t xml:space="preserve">Zadanie nr 5: </w:t>
      </w:r>
      <w:r w:rsidRPr="0089605D">
        <w:rPr>
          <w:rFonts w:ascii="Arial" w:hAnsi="Arial" w:cs="Arial"/>
          <w:color w:val="000000"/>
          <w:shd w:val="clear" w:color="auto" w:fill="FFFFFF"/>
        </w:rPr>
        <w:t xml:space="preserve">Barwnik Midori Green </w:t>
      </w:r>
      <w:proofErr w:type="spellStart"/>
      <w:r w:rsidRPr="0089605D">
        <w:rPr>
          <w:rFonts w:ascii="Arial" w:hAnsi="Arial" w:cs="Arial"/>
          <w:color w:val="000000"/>
          <w:shd w:val="clear" w:color="auto" w:fill="FFFFFF"/>
        </w:rPr>
        <w:t>Advance</w:t>
      </w:r>
      <w:proofErr w:type="spellEnd"/>
      <w:r w:rsidRPr="0089605D">
        <w:rPr>
          <w:rFonts w:ascii="Arial" w:hAnsi="Arial" w:cs="Arial"/>
          <w:color w:val="000000"/>
          <w:shd w:val="clear" w:color="auto" w:fill="FFFFFF"/>
        </w:rPr>
        <w:t xml:space="preserve"> DNA </w:t>
      </w:r>
      <w:proofErr w:type="spellStart"/>
      <w:r w:rsidRPr="0089605D">
        <w:rPr>
          <w:rFonts w:ascii="Arial" w:hAnsi="Arial" w:cs="Arial"/>
          <w:color w:val="000000"/>
          <w:shd w:val="clear" w:color="auto" w:fill="FFFFFF"/>
        </w:rPr>
        <w:t>Stain</w:t>
      </w:r>
      <w:proofErr w:type="spellEnd"/>
      <w:r w:rsidRPr="0089605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</w:rPr>
        <w:t xml:space="preserve">Zadanie nr 6: </w:t>
      </w:r>
      <w:r w:rsidRPr="0089605D">
        <w:rPr>
          <w:rFonts w:ascii="Arial" w:hAnsi="Arial" w:cs="Arial"/>
          <w:color w:val="000000"/>
          <w:shd w:val="clear" w:color="auto" w:fill="FFFFFF"/>
        </w:rPr>
        <w:t>Woda do biologii molekularnej.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  <w:color w:val="000000"/>
          <w:shd w:val="clear" w:color="auto" w:fill="FFFFFF"/>
        </w:rPr>
      </w:pPr>
      <w:r w:rsidRPr="0089605D">
        <w:rPr>
          <w:rFonts w:ascii="Arial" w:hAnsi="Arial" w:cs="Arial"/>
        </w:rPr>
        <w:t xml:space="preserve">Zadanie nr 7: </w:t>
      </w:r>
      <w:r w:rsidRPr="0089605D">
        <w:rPr>
          <w:rFonts w:ascii="Arial" w:hAnsi="Arial" w:cs="Arial"/>
          <w:color w:val="000000"/>
          <w:shd w:val="clear" w:color="auto" w:fill="FFFFFF"/>
        </w:rPr>
        <w:t>Produkt biobójczy.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  <w:color w:val="000000"/>
          <w:shd w:val="clear" w:color="auto" w:fill="FFFFFF"/>
        </w:rPr>
      </w:pPr>
      <w:r w:rsidRPr="0089605D">
        <w:rPr>
          <w:rFonts w:ascii="Arial" w:hAnsi="Arial" w:cs="Arial"/>
          <w:color w:val="000000"/>
          <w:shd w:val="clear" w:color="auto" w:fill="FFFFFF"/>
        </w:rPr>
        <w:t>Zadanie nr 8: Zestaw do izolacji RNA.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  <w:color w:val="000000"/>
          <w:shd w:val="clear" w:color="auto" w:fill="FFFFFF"/>
        </w:rPr>
      </w:pPr>
      <w:r w:rsidRPr="0089605D">
        <w:rPr>
          <w:rFonts w:ascii="Arial" w:hAnsi="Arial" w:cs="Arial"/>
          <w:color w:val="000000"/>
          <w:shd w:val="clear" w:color="auto" w:fill="FFFFFF"/>
        </w:rPr>
        <w:t>Zadanie nr 9: Odczynniki do elektroforezy RNA/DNA.</w:t>
      </w:r>
    </w:p>
    <w:p w:rsidR="00875735" w:rsidRPr="0089605D" w:rsidRDefault="00875735" w:rsidP="00875735">
      <w:pPr>
        <w:pStyle w:val="Akapitzlist"/>
        <w:ind w:left="567"/>
        <w:rPr>
          <w:rFonts w:ascii="Arial" w:hAnsi="Arial" w:cs="Arial"/>
          <w:color w:val="000000"/>
          <w:shd w:val="clear" w:color="auto" w:fill="FFFFFF"/>
        </w:rPr>
      </w:pPr>
      <w:r w:rsidRPr="0089605D">
        <w:rPr>
          <w:rFonts w:ascii="Arial" w:hAnsi="Arial" w:cs="Arial"/>
          <w:color w:val="000000"/>
          <w:shd w:val="clear" w:color="auto" w:fill="FFFFFF"/>
        </w:rPr>
        <w:t xml:space="preserve">Zadanie nr 10: Odczynniki, materiały zużywalne oraz drobny sprzęt laboratoryjny do przeprowadzenia elektroforezy białek i kwasów nukleinowych.  </w:t>
      </w:r>
    </w:p>
    <w:p w:rsidR="00875735" w:rsidRDefault="00875735" w:rsidP="00875735">
      <w:pPr>
        <w:pStyle w:val="Akapitzlist"/>
        <w:autoSpaceDE w:val="0"/>
        <w:autoSpaceDN w:val="0"/>
        <w:adjustRightInd w:val="0"/>
        <w:spacing w:after="36"/>
        <w:ind w:left="567"/>
        <w:jc w:val="both"/>
        <w:rPr>
          <w:color w:val="000000"/>
          <w:shd w:val="clear" w:color="auto" w:fill="FFFFFF"/>
        </w:rPr>
      </w:pPr>
      <w:r w:rsidRPr="0089605D">
        <w:rPr>
          <w:rFonts w:ascii="Arial" w:hAnsi="Arial" w:cs="Arial"/>
          <w:color w:val="000000"/>
          <w:shd w:val="clear" w:color="auto" w:fill="FFFFFF"/>
        </w:rPr>
        <w:t>Zadanie nr 11: Przeciwciała</w:t>
      </w:r>
      <w:r w:rsidRPr="0089605D">
        <w:rPr>
          <w:color w:val="000000"/>
          <w:shd w:val="clear" w:color="auto" w:fill="FFFFFF"/>
        </w:rPr>
        <w:t xml:space="preserve"> </w:t>
      </w:r>
    </w:p>
    <w:p w:rsidR="00875735" w:rsidRDefault="00875735" w:rsidP="0087573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875735" w:rsidRDefault="00875735" w:rsidP="0087573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875735" w:rsidRDefault="00875735" w:rsidP="00875735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:rsidR="00875735" w:rsidRDefault="00875735" w:rsidP="00875735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:rsidR="00875735" w:rsidRDefault="00875735" w:rsidP="00875735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:rsidR="00875735" w:rsidRPr="008D67B9" w:rsidRDefault="00875735" w:rsidP="00875735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33631600-8 środki antyseptyczne i dezynfekcyjne</w:t>
      </w:r>
    </w:p>
    <w:p w:rsidR="00875735" w:rsidRPr="006A74E8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875735" w:rsidRPr="006A74E8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875735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875735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875735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875735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875735" w:rsidRPr="009A6411" w:rsidRDefault="00875735" w:rsidP="0087573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:rsidR="00875735" w:rsidRPr="00511676" w:rsidRDefault="00875735" w:rsidP="00875735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875735" w:rsidRDefault="00875735" w:rsidP="00875735">
      <w:pPr>
        <w:pStyle w:val="Default"/>
        <w:jc w:val="both"/>
        <w:rPr>
          <w:rFonts w:ascii="Arial" w:hAnsi="Arial" w:cs="Arial"/>
          <w:color w:val="auto"/>
        </w:rPr>
      </w:pP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75735" w:rsidRDefault="00875735" w:rsidP="0087573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75735" w:rsidRPr="006A74E8" w:rsidRDefault="00875735" w:rsidP="0087573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.1.-4.11.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875735" w:rsidRDefault="00875735" w:rsidP="0087573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75735" w:rsidRDefault="00875735" w:rsidP="0087573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75735" w:rsidRDefault="00875735" w:rsidP="00875735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75735" w:rsidRDefault="00875735" w:rsidP="0087573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875735" w:rsidRDefault="00875735" w:rsidP="0087573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75735" w:rsidRDefault="00875735" w:rsidP="0087573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75735" w:rsidRDefault="00875735" w:rsidP="00875735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875735" w:rsidRDefault="00875735" w:rsidP="0087573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75735" w:rsidRDefault="00875735" w:rsidP="0087573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875735" w:rsidRDefault="00875735" w:rsidP="0087573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875735" w:rsidRDefault="00875735" w:rsidP="0087573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875735" w:rsidRDefault="00875735" w:rsidP="0087573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875735" w:rsidRDefault="00875735" w:rsidP="0087573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875735" w:rsidRDefault="00875735" w:rsidP="0087573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875735" w:rsidRDefault="00875735" w:rsidP="0087573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875735" w:rsidRDefault="00875735" w:rsidP="0087573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875735" w:rsidRPr="00636857" w:rsidRDefault="00875735" w:rsidP="00875735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„Dostawa produktów do wykonywania badań”</w:t>
      </w:r>
      <w:r>
        <w:rPr>
          <w:rFonts w:ascii="Arial" w:hAnsi="Arial" w:cs="Arial"/>
          <w:sz w:val="26"/>
          <w:szCs w:val="26"/>
        </w:rPr>
        <w:t xml:space="preserve"> (</w:t>
      </w:r>
      <w:r w:rsidR="000348BF">
        <w:rPr>
          <w:rFonts w:ascii="Arial" w:hAnsi="Arial" w:cs="Arial"/>
          <w:sz w:val="26"/>
          <w:szCs w:val="26"/>
        </w:rPr>
        <w:t>1/Z/20</w:t>
      </w:r>
      <w:r>
        <w:rPr>
          <w:rFonts w:ascii="Arial" w:hAnsi="Arial" w:cs="Arial"/>
          <w:sz w:val="26"/>
          <w:szCs w:val="26"/>
        </w:rPr>
        <w:t>)</w:t>
      </w:r>
    </w:p>
    <w:p w:rsidR="00875735" w:rsidRPr="00636857" w:rsidRDefault="00875735" w:rsidP="00875735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:rsidR="00875735" w:rsidRPr="00636857" w:rsidRDefault="00875735" w:rsidP="00875735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:rsidR="00875735" w:rsidRDefault="00875735" w:rsidP="00875735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875735" w:rsidRDefault="00875735" w:rsidP="00875735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875735" w:rsidRDefault="00875735" w:rsidP="0087573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875735" w:rsidRDefault="00875735" w:rsidP="0087573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875735" w:rsidRDefault="00875735" w:rsidP="0087573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75735" w:rsidRDefault="00875735" w:rsidP="0087573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75735" w:rsidRDefault="00875735" w:rsidP="0087573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875735" w:rsidRDefault="00875735" w:rsidP="0087573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75735" w:rsidRPr="00292935" w:rsidRDefault="00875735" w:rsidP="0087573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875735" w:rsidRPr="00292935" w:rsidRDefault="00875735" w:rsidP="0087573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875735" w:rsidRDefault="00875735" w:rsidP="0087573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875735" w:rsidRDefault="00875735" w:rsidP="00875735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75735" w:rsidRDefault="00875735" w:rsidP="0087573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875735" w:rsidRDefault="00875735" w:rsidP="0087573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75735" w:rsidRDefault="00875735" w:rsidP="0087573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75735" w:rsidRDefault="00875735" w:rsidP="00875735">
      <w:pPr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75735" w:rsidRDefault="00875735" w:rsidP="00875735">
      <w:pPr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75735" w:rsidRDefault="00875735" w:rsidP="0087573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75735" w:rsidRDefault="00875735" w:rsidP="0087573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75735" w:rsidRDefault="00875735" w:rsidP="00875735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75735" w:rsidRDefault="00875735" w:rsidP="0087573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875735" w:rsidRDefault="00875735" w:rsidP="0087573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Posiadają niezbędną wiedzę i doświadczenie konieczne dla realizacji zamówienia.</w:t>
      </w:r>
    </w:p>
    <w:p w:rsidR="00875735" w:rsidRDefault="00875735" w:rsidP="0087573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75735" w:rsidRDefault="00875735" w:rsidP="0087573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875735" w:rsidRPr="00496F7D" w:rsidRDefault="00875735" w:rsidP="00875735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875735" w:rsidRDefault="00875735" w:rsidP="0087573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75735" w:rsidRDefault="00875735" w:rsidP="0087573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875735" w:rsidRDefault="00875735" w:rsidP="0087573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875735" w:rsidRDefault="00875735" w:rsidP="0087573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75735" w:rsidRDefault="00875735" w:rsidP="00875735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875735" w:rsidRDefault="00875735" w:rsidP="0087573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875735" w:rsidRDefault="00875735" w:rsidP="00875735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DE6CE6" w:rsidRDefault="00875735" w:rsidP="00DE6CE6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4.1.-4.11.;</w:t>
      </w:r>
      <w:bookmarkStart w:id="2" w:name="_Hlk529998847"/>
    </w:p>
    <w:p w:rsidR="00DE6CE6" w:rsidRPr="00B97286" w:rsidRDefault="00DE6CE6" w:rsidP="00DE6CE6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97286">
        <w:rPr>
          <w:rFonts w:ascii="Arial" w:hAnsi="Arial" w:cs="Arial"/>
          <w:sz w:val="24"/>
          <w:szCs w:val="24"/>
        </w:rPr>
        <w:t>Próbki oferowanego przedmiotu zamówienia dla Zadania nr 2</w:t>
      </w:r>
      <w:r w:rsidR="00902295" w:rsidRPr="00B97286">
        <w:rPr>
          <w:rFonts w:ascii="Arial" w:hAnsi="Arial" w:cs="Arial"/>
          <w:sz w:val="24"/>
          <w:szCs w:val="24"/>
        </w:rPr>
        <w:t>, 3 (poz.1)</w:t>
      </w:r>
      <w:r w:rsidRPr="00B97286">
        <w:rPr>
          <w:rFonts w:ascii="Arial" w:hAnsi="Arial" w:cs="Arial"/>
          <w:sz w:val="24"/>
          <w:szCs w:val="24"/>
        </w:rPr>
        <w:t xml:space="preserve"> – wg ilości określonej w Załączniku nr 4.2.</w:t>
      </w:r>
      <w:r w:rsidR="00902295" w:rsidRPr="00B97286">
        <w:rPr>
          <w:rFonts w:ascii="Arial" w:hAnsi="Arial" w:cs="Arial"/>
          <w:sz w:val="24"/>
          <w:szCs w:val="24"/>
        </w:rPr>
        <w:t>, 4.3.</w:t>
      </w:r>
      <w:r w:rsidRPr="00B97286">
        <w:rPr>
          <w:rFonts w:ascii="Arial" w:hAnsi="Arial" w:cs="Arial"/>
          <w:sz w:val="24"/>
          <w:szCs w:val="24"/>
        </w:rPr>
        <w:t xml:space="preserve"> Nie dostarczenie próbek dla Zadania nr 2</w:t>
      </w:r>
      <w:r w:rsidR="00902295" w:rsidRPr="00B97286">
        <w:rPr>
          <w:rFonts w:ascii="Arial" w:hAnsi="Arial" w:cs="Arial"/>
          <w:sz w:val="24"/>
          <w:szCs w:val="24"/>
        </w:rPr>
        <w:t>, nr 3</w:t>
      </w:r>
      <w:r w:rsidRPr="00B97286">
        <w:rPr>
          <w:rFonts w:ascii="Arial" w:hAnsi="Arial" w:cs="Arial"/>
          <w:sz w:val="24"/>
          <w:szCs w:val="24"/>
        </w:rPr>
        <w:t xml:space="preserve"> – wg ilości określonej w Załączniku nr 4.2.</w:t>
      </w:r>
      <w:r w:rsidR="00902295" w:rsidRPr="00B97286">
        <w:rPr>
          <w:rFonts w:ascii="Arial" w:hAnsi="Arial" w:cs="Arial"/>
          <w:sz w:val="24"/>
          <w:szCs w:val="24"/>
        </w:rPr>
        <w:t>, 4.3.</w:t>
      </w:r>
      <w:r w:rsidRPr="00B97286">
        <w:rPr>
          <w:rFonts w:ascii="Arial" w:hAnsi="Arial" w:cs="Arial"/>
          <w:sz w:val="24"/>
          <w:szCs w:val="24"/>
        </w:rPr>
        <w:t xml:space="preserve"> lub dostarczenie próbek niezgodnych z </w:t>
      </w:r>
      <w:proofErr w:type="spellStart"/>
      <w:r w:rsidRPr="00B97286">
        <w:rPr>
          <w:rFonts w:ascii="Arial" w:hAnsi="Arial" w:cs="Arial"/>
          <w:sz w:val="24"/>
          <w:szCs w:val="24"/>
        </w:rPr>
        <w:t>siwz</w:t>
      </w:r>
      <w:proofErr w:type="spellEnd"/>
      <w:r w:rsidRPr="00B97286">
        <w:rPr>
          <w:rFonts w:ascii="Arial" w:hAnsi="Arial" w:cs="Arial"/>
          <w:sz w:val="24"/>
          <w:szCs w:val="24"/>
        </w:rPr>
        <w:t xml:space="preserve"> skutkować będzie odrzuceniem oferty.</w:t>
      </w:r>
    </w:p>
    <w:bookmarkEnd w:id="2"/>
    <w:p w:rsidR="00875735" w:rsidRDefault="00875735" w:rsidP="00875735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875735" w:rsidRDefault="00875735" w:rsidP="0087573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75735" w:rsidRDefault="00875735" w:rsidP="00875735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875735" w:rsidRDefault="00875735" w:rsidP="0087573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:rsidR="00875735" w:rsidRDefault="00875735" w:rsidP="00875735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875735" w:rsidRDefault="00875735" w:rsidP="00875735">
      <w:pPr>
        <w:pStyle w:val="Akapitzlist"/>
        <w:ind w:left="426"/>
        <w:jc w:val="both"/>
        <w:rPr>
          <w:rFonts w:ascii="Arial" w:hAnsi="Arial" w:cs="Arial"/>
        </w:rPr>
      </w:pPr>
    </w:p>
    <w:p w:rsidR="00875735" w:rsidRDefault="00875735" w:rsidP="0087573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875735" w:rsidRDefault="00875735" w:rsidP="00875735">
      <w:pPr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12 miesięcy od daty zawarcia umowy 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12 miesięcy od daty zawarcia umowy 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11: 12 miesięcy od daty zawarcia umowy</w:t>
      </w:r>
    </w:p>
    <w:p w:rsidR="00875735" w:rsidRDefault="00875735" w:rsidP="0087573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875735" w:rsidRPr="00124692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48BF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.01.2020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875735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75735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>
        <w:rPr>
          <w:rFonts w:ascii="Arial" w:hAnsi="Arial" w:cs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:rsidR="00875735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75735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75735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75735" w:rsidRPr="00072EDB" w:rsidRDefault="00875735" w:rsidP="00875735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875735" w:rsidRDefault="00875735" w:rsidP="0087573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875735" w:rsidRDefault="00875735" w:rsidP="0087573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75735" w:rsidRDefault="00875735" w:rsidP="0087573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875735" w:rsidRDefault="00875735" w:rsidP="0087573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875735" w:rsidRDefault="00875735" w:rsidP="00875735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75735" w:rsidRDefault="00875735" w:rsidP="0087573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875735" w:rsidRDefault="00875735" w:rsidP="00875735">
      <w:pPr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875735" w:rsidRDefault="00875735" w:rsidP="0087573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75735" w:rsidRDefault="00875735" w:rsidP="0087573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875735" w:rsidRDefault="00875735" w:rsidP="00875735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75735" w:rsidRDefault="00875735" w:rsidP="0087573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875735" w:rsidRDefault="00875735" w:rsidP="0087573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0348BF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>.01.2020</w:t>
      </w:r>
      <w:r w:rsidRPr="00124692">
        <w:rPr>
          <w:rFonts w:cs="Arial"/>
          <w:sz w:val="24"/>
          <w:szCs w:val="24"/>
        </w:rPr>
        <w:t xml:space="preserve"> r. o godz. 14.00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875735" w:rsidRDefault="00875735" w:rsidP="0087573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875735" w:rsidRDefault="00875735" w:rsidP="0087573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75735" w:rsidRDefault="00875735" w:rsidP="0087573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75735" w:rsidRDefault="00875735" w:rsidP="0087573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75735" w:rsidRDefault="00875735" w:rsidP="00875735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75735" w:rsidRDefault="00875735" w:rsidP="0087573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75735" w:rsidRDefault="00875735" w:rsidP="0087573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75735" w:rsidRDefault="00875735" w:rsidP="00875735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875735" w:rsidRDefault="00875735" w:rsidP="0087573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75735" w:rsidRDefault="00875735" w:rsidP="00875735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75735" w:rsidRDefault="00875735" w:rsidP="0087573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75735" w:rsidRDefault="00875735" w:rsidP="00875735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875735" w:rsidRDefault="00875735" w:rsidP="00875735">
      <w:pPr>
        <w:rPr>
          <w:rFonts w:ascii="Arial" w:hAnsi="Arial" w:cs="Arial"/>
        </w:rPr>
      </w:pPr>
    </w:p>
    <w:p w:rsidR="00875735" w:rsidRDefault="00875735" w:rsidP="0087573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75735" w:rsidRDefault="00875735" w:rsidP="0087573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875735" w:rsidRDefault="00875735" w:rsidP="00875735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875735" w:rsidRDefault="00875735" w:rsidP="00875735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875735" w:rsidRDefault="00875735" w:rsidP="0087573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875735" w:rsidRDefault="00875735" w:rsidP="0087573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875735" w:rsidRDefault="00875735" w:rsidP="0087573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75735" w:rsidRDefault="00875735" w:rsidP="00875735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75735" w:rsidRDefault="00875735" w:rsidP="0087573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</w:rPr>
      </w:pPr>
    </w:p>
    <w:p w:rsidR="00875735" w:rsidRDefault="00875735" w:rsidP="008757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75735" w:rsidRDefault="00875735" w:rsidP="0087573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875735" w:rsidRDefault="00875735" w:rsidP="00875735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875735" w:rsidRDefault="00875735" w:rsidP="0087573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875735" w:rsidRDefault="00875735" w:rsidP="00875735">
      <w:pPr>
        <w:jc w:val="center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75735" w:rsidRDefault="00875735" w:rsidP="008757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75735" w:rsidRDefault="00875735" w:rsidP="00875735">
      <w:pPr>
        <w:jc w:val="both"/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875735" w:rsidRDefault="00875735" w:rsidP="00875735">
      <w:pPr>
        <w:jc w:val="both"/>
        <w:rPr>
          <w:rFonts w:ascii="Arial" w:hAnsi="Arial" w:cs="Arial"/>
          <w:b/>
          <w:sz w:val="28"/>
          <w:szCs w:val="28"/>
        </w:rPr>
      </w:pPr>
    </w:p>
    <w:p w:rsidR="00875735" w:rsidRDefault="00875735" w:rsidP="008757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75735" w:rsidRPr="007E6082" w:rsidRDefault="00875735" w:rsidP="00875735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0348BF">
        <w:rPr>
          <w:rFonts w:ascii="Arial" w:hAnsi="Arial" w:cs="Arial"/>
          <w:sz w:val="24"/>
          <w:szCs w:val="24"/>
        </w:rPr>
        <w:t>1/Z/20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875735" w:rsidRDefault="00875735" w:rsidP="00875735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875735" w:rsidRPr="00DD4F5A" w:rsidRDefault="00875735" w:rsidP="00875735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875735" w:rsidRDefault="00875735" w:rsidP="00875735">
      <w:pPr>
        <w:rPr>
          <w:rFonts w:ascii="Arial" w:hAnsi="Arial" w:cs="Arial"/>
          <w:sz w:val="24"/>
          <w:szCs w:val="24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7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10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11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5735" w:rsidRPr="006A74E8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5735" w:rsidRDefault="00875735" w:rsidP="0087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5735" w:rsidRPr="006A74E8" w:rsidRDefault="00875735" w:rsidP="00875735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75735" w:rsidRPr="006A74E8" w:rsidRDefault="00875735" w:rsidP="00875735">
      <w:pPr>
        <w:jc w:val="both"/>
        <w:rPr>
          <w:rFonts w:ascii="Arial" w:hAnsi="Arial" w:cs="Arial"/>
          <w:sz w:val="28"/>
          <w:szCs w:val="28"/>
        </w:rPr>
      </w:pP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75735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75735" w:rsidRPr="006A74E8" w:rsidRDefault="00875735" w:rsidP="00875735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875735" w:rsidRPr="006A74E8" w:rsidRDefault="00875735" w:rsidP="0087573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75735" w:rsidRPr="006A74E8" w:rsidRDefault="00875735" w:rsidP="0087573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75735" w:rsidRPr="006A74E8" w:rsidRDefault="00875735" w:rsidP="0087573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75735" w:rsidRPr="006A74E8" w:rsidRDefault="00875735" w:rsidP="00875735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75735" w:rsidRDefault="00875735" w:rsidP="00875735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:rsidR="00875735" w:rsidRPr="00F525FA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 w:rsidRPr="00F525F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F525FA">
        <w:rPr>
          <w:rFonts w:ascii="Arial" w:hAnsi="Arial" w:cs="Arial"/>
          <w:sz w:val="24"/>
          <w:szCs w:val="24"/>
        </w:rPr>
        <w:t xml:space="preserve">: 12 miesięcy od daty zawarcia umowy </w:t>
      </w:r>
    </w:p>
    <w:p w:rsidR="00875735" w:rsidRPr="00F525FA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</w:t>
      </w:r>
      <w:r w:rsidRPr="00F525FA">
        <w:rPr>
          <w:rFonts w:ascii="Arial" w:hAnsi="Arial" w:cs="Arial"/>
          <w:sz w:val="24"/>
          <w:szCs w:val="24"/>
        </w:rPr>
        <w:t>: 12 miesięcy od daty zawarcia umowy</w:t>
      </w:r>
    </w:p>
    <w:p w:rsidR="00875735" w:rsidRDefault="00875735" w:rsidP="00875735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6:</w:t>
      </w:r>
      <w:r w:rsidRPr="00F525FA">
        <w:rPr>
          <w:rFonts w:ascii="Arial" w:hAnsi="Arial" w:cs="Arial"/>
          <w:sz w:val="24"/>
          <w:szCs w:val="24"/>
        </w:rPr>
        <w:t xml:space="preserve"> 12 miesięcy od daty zawarcia umowy </w:t>
      </w:r>
    </w:p>
    <w:p w:rsidR="00875735" w:rsidRPr="00875735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 w:rsidRPr="00875735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875735">
        <w:rPr>
          <w:rFonts w:ascii="Arial" w:hAnsi="Arial" w:cs="Arial"/>
          <w:sz w:val="24"/>
          <w:szCs w:val="24"/>
        </w:rPr>
        <w:t xml:space="preserve">: 12 miesięcy od daty zawarcia umowy </w:t>
      </w:r>
    </w:p>
    <w:p w:rsidR="00875735" w:rsidRPr="00875735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 w:rsidRPr="00875735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8</w:t>
      </w:r>
      <w:r w:rsidRPr="00875735">
        <w:rPr>
          <w:rFonts w:ascii="Arial" w:hAnsi="Arial" w:cs="Arial"/>
          <w:sz w:val="24"/>
          <w:szCs w:val="24"/>
        </w:rPr>
        <w:t>: 12 miesięcy od daty zawarcia umowy</w:t>
      </w:r>
    </w:p>
    <w:p w:rsidR="00875735" w:rsidRPr="00875735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 w:rsidRPr="00875735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9</w:t>
      </w:r>
      <w:r w:rsidRPr="00875735">
        <w:rPr>
          <w:rFonts w:ascii="Arial" w:hAnsi="Arial" w:cs="Arial"/>
          <w:sz w:val="24"/>
          <w:szCs w:val="24"/>
        </w:rPr>
        <w:t>: 12 miesięcy od daty zawarcia umowy</w:t>
      </w:r>
    </w:p>
    <w:p w:rsidR="00875735" w:rsidRPr="00875735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 w:rsidRPr="00875735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10</w:t>
      </w:r>
      <w:r w:rsidRPr="00875735">
        <w:rPr>
          <w:rFonts w:ascii="Arial" w:hAnsi="Arial" w:cs="Arial"/>
          <w:sz w:val="24"/>
          <w:szCs w:val="24"/>
        </w:rPr>
        <w:t xml:space="preserve">: 12 miesięcy od daty zawarcia umowy </w:t>
      </w:r>
    </w:p>
    <w:p w:rsidR="00875735" w:rsidRPr="006A74E8" w:rsidRDefault="00875735" w:rsidP="00875735">
      <w:pPr>
        <w:ind w:left="705"/>
        <w:jc w:val="both"/>
        <w:rPr>
          <w:rFonts w:ascii="Arial" w:hAnsi="Arial" w:cs="Arial"/>
          <w:sz w:val="24"/>
          <w:szCs w:val="24"/>
        </w:rPr>
      </w:pPr>
      <w:r w:rsidRPr="00875735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11</w:t>
      </w:r>
      <w:r w:rsidRPr="00875735">
        <w:rPr>
          <w:rFonts w:ascii="Arial" w:hAnsi="Arial" w:cs="Arial"/>
          <w:sz w:val="24"/>
          <w:szCs w:val="24"/>
        </w:rPr>
        <w:t>: 12 miesięcy od daty zawarcia umowy</w:t>
      </w:r>
    </w:p>
    <w:p w:rsidR="00875735" w:rsidRPr="006A74E8" w:rsidRDefault="00875735" w:rsidP="00875735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875735" w:rsidRPr="006A74E8" w:rsidRDefault="00875735" w:rsidP="0087573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75735" w:rsidRPr="006A74E8" w:rsidRDefault="00875735" w:rsidP="0087573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75735" w:rsidRPr="006A74E8" w:rsidRDefault="00875735" w:rsidP="0087573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875735" w:rsidRPr="006A74E8" w:rsidRDefault="00875735" w:rsidP="00875735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75735" w:rsidRPr="006A74E8" w:rsidRDefault="00875735" w:rsidP="00875735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75735" w:rsidRPr="006A74E8" w:rsidRDefault="00875735" w:rsidP="00875735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Pr="006A74E8" w:rsidRDefault="00875735" w:rsidP="0087573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5735" w:rsidRPr="006A74E8" w:rsidRDefault="00875735" w:rsidP="0087573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5735" w:rsidRPr="006A74E8" w:rsidRDefault="00875735" w:rsidP="0087573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75735" w:rsidRDefault="00875735" w:rsidP="0087573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5735" w:rsidRDefault="00875735" w:rsidP="0087573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75735" w:rsidRDefault="00875735" w:rsidP="008757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75735" w:rsidRDefault="00875735" w:rsidP="008757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75735" w:rsidRDefault="00875735" w:rsidP="008757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75735" w:rsidRPr="005B32BB" w:rsidRDefault="00875735" w:rsidP="0087573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875735" w:rsidRPr="003D6440" w:rsidRDefault="00875735" w:rsidP="0087573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875735" w:rsidRPr="003D6440" w:rsidRDefault="00875735" w:rsidP="0087573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75735" w:rsidRDefault="00875735" w:rsidP="0087573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Default="00875735" w:rsidP="00875735">
      <w:pPr>
        <w:rPr>
          <w:rFonts w:ascii="Arial" w:hAnsi="Arial" w:cs="Arial"/>
          <w:sz w:val="28"/>
          <w:szCs w:val="28"/>
        </w:rPr>
      </w:pPr>
    </w:p>
    <w:p w:rsidR="00875735" w:rsidRPr="003D6440" w:rsidRDefault="00875735" w:rsidP="00875735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75735" w:rsidRPr="003D6440" w:rsidRDefault="00875735" w:rsidP="0087573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75735" w:rsidRPr="003D6440" w:rsidRDefault="00875735" w:rsidP="0087573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875735" w:rsidRPr="003D6440" w:rsidRDefault="00875735" w:rsidP="0087573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875735" w:rsidRPr="003D6440" w:rsidRDefault="00875735" w:rsidP="00875735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735" w:rsidRDefault="00875735" w:rsidP="00875735">
      <w:pPr>
        <w:jc w:val="right"/>
        <w:rPr>
          <w:rFonts w:ascii="Arial" w:hAnsi="Arial" w:cs="Arial"/>
        </w:rPr>
      </w:pPr>
    </w:p>
    <w:p w:rsidR="00875735" w:rsidRDefault="00875735" w:rsidP="00875735">
      <w:pPr>
        <w:jc w:val="right"/>
        <w:rPr>
          <w:rFonts w:ascii="Arial" w:hAnsi="Arial" w:cs="Arial"/>
        </w:rPr>
      </w:pPr>
    </w:p>
    <w:p w:rsidR="00875735" w:rsidRDefault="00875735" w:rsidP="008757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875735" w:rsidRDefault="00875735" w:rsidP="00875735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5ABA0EC6" wp14:editId="2ED5B745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4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5" w:rsidRPr="006F7393" w:rsidRDefault="00875735" w:rsidP="00875735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875735" w:rsidRPr="006F7393" w:rsidRDefault="00875735" w:rsidP="00875735">
      <w:pPr>
        <w:rPr>
          <w:rFonts w:ascii="Arial" w:hAnsi="Arial" w:cs="Arial"/>
          <w:sz w:val="24"/>
          <w:szCs w:val="24"/>
        </w:rPr>
      </w:pPr>
    </w:p>
    <w:p w:rsidR="00875735" w:rsidRPr="006F7393" w:rsidRDefault="00875735" w:rsidP="0087573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……/BOR/20</w:t>
      </w:r>
    </w:p>
    <w:p w:rsidR="00875735" w:rsidRPr="006F7393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Pr="006F7393" w:rsidRDefault="00875735" w:rsidP="00875735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75735" w:rsidRPr="006F7393" w:rsidRDefault="00875735" w:rsidP="0087573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75735" w:rsidRPr="006F7393" w:rsidRDefault="00875735" w:rsidP="0087573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75735" w:rsidRPr="006F7393" w:rsidRDefault="00875735" w:rsidP="0087573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75735" w:rsidRPr="006F7393" w:rsidRDefault="00875735" w:rsidP="0087573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75735" w:rsidRPr="006F7393" w:rsidRDefault="00875735" w:rsidP="0087573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75735" w:rsidRPr="006F7393" w:rsidRDefault="00875735" w:rsidP="0087573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75735" w:rsidRPr="006F7393" w:rsidRDefault="00875735" w:rsidP="00875735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75735" w:rsidRPr="006F7393" w:rsidRDefault="00875735" w:rsidP="00875735">
      <w:pPr>
        <w:rPr>
          <w:rFonts w:ascii="Arial" w:hAnsi="Arial" w:cs="Arial"/>
          <w:sz w:val="24"/>
          <w:szCs w:val="24"/>
        </w:rPr>
      </w:pPr>
    </w:p>
    <w:p w:rsidR="00875735" w:rsidRPr="006F7393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75735" w:rsidRPr="006F7393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5735" w:rsidRPr="0056597E" w:rsidRDefault="00875735" w:rsidP="00875735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 w:rsidR="000348BF">
        <w:rPr>
          <w:rFonts w:ascii="Arial" w:hAnsi="Arial" w:cs="Arial"/>
          <w:sz w:val="24"/>
          <w:szCs w:val="24"/>
        </w:rPr>
        <w:t>1/Z/20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- 4.11.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875735" w:rsidRPr="005C3963" w:rsidRDefault="00875735" w:rsidP="0087573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75735" w:rsidRPr="006F7393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5735" w:rsidRPr="002614E1" w:rsidRDefault="00875735" w:rsidP="0087573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75735" w:rsidRDefault="00875735" w:rsidP="0087573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75735" w:rsidRDefault="00875735" w:rsidP="0087573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75735" w:rsidRDefault="00875735" w:rsidP="0087573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75735" w:rsidRDefault="00875735" w:rsidP="0087573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75735" w:rsidRDefault="00875735" w:rsidP="00875735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75735" w:rsidRDefault="00875735" w:rsidP="0087573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875735" w:rsidRDefault="00875735" w:rsidP="00875735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875735" w:rsidRDefault="00875735" w:rsidP="00875735">
      <w:pPr>
        <w:pStyle w:val="Akapitzlist"/>
        <w:jc w:val="both"/>
        <w:rPr>
          <w:rFonts w:ascii="Arial" w:hAnsi="Arial" w:cs="Arial"/>
        </w:rPr>
      </w:pP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4.1.-4.11.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875735" w:rsidRPr="00B61082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:rsidR="00875735" w:rsidRDefault="00875735" w:rsidP="0087573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>Zadanie nr 3: 12 miesięcy od daty zawarcia umowy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</w:t>
      </w:r>
      <w:r w:rsidRPr="00B61082">
        <w:rPr>
          <w:rFonts w:ascii="Arial" w:hAnsi="Arial" w:cs="Arial"/>
        </w:rPr>
        <w:t xml:space="preserve">: 12 miesięcy od daty zawarcia umowy </w:t>
      </w:r>
    </w:p>
    <w:p w:rsidR="00875735" w:rsidRPr="00B61082" w:rsidRDefault="00875735" w:rsidP="0087573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</w:t>
      </w:r>
      <w:r w:rsidRPr="00B61082">
        <w:rPr>
          <w:rFonts w:ascii="Arial" w:hAnsi="Arial" w:cs="Arial"/>
        </w:rPr>
        <w:t>: 12 miesięcy od daty zawarcia umowy</w:t>
      </w:r>
    </w:p>
    <w:p w:rsidR="00875735" w:rsidRDefault="00875735" w:rsidP="00875735">
      <w:pPr>
        <w:pStyle w:val="Akapitzlist"/>
        <w:tabs>
          <w:tab w:val="left" w:pos="1276"/>
        </w:tabs>
        <w:ind w:left="1064" w:hanging="638"/>
        <w:rPr>
          <w:rFonts w:ascii="Arial" w:hAnsi="Arial" w:cs="Arial"/>
        </w:rPr>
      </w:pPr>
      <w:r>
        <w:rPr>
          <w:rFonts w:ascii="Arial" w:hAnsi="Arial" w:cs="Arial"/>
        </w:rPr>
        <w:t>Zadanie nr 6</w:t>
      </w:r>
      <w:r w:rsidRPr="00B61082">
        <w:rPr>
          <w:rFonts w:ascii="Arial" w:hAnsi="Arial" w:cs="Arial"/>
        </w:rPr>
        <w:t>: 12 miesięcy od daty zawarcia umowy</w:t>
      </w:r>
    </w:p>
    <w:p w:rsidR="00875735" w:rsidRDefault="00875735" w:rsidP="00875735">
      <w:pPr>
        <w:tabs>
          <w:tab w:val="left" w:pos="1276"/>
        </w:tabs>
        <w:ind w:left="1064" w:hanging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12 miesięcy od daty zawarcia umowy </w:t>
      </w:r>
    </w:p>
    <w:p w:rsidR="00875735" w:rsidRDefault="00875735" w:rsidP="00875735">
      <w:pPr>
        <w:tabs>
          <w:tab w:val="left" w:pos="1276"/>
        </w:tabs>
        <w:ind w:left="1064" w:hanging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12 miesięcy od daty zawarcia umowy</w:t>
      </w:r>
    </w:p>
    <w:p w:rsidR="00875735" w:rsidRDefault="00875735" w:rsidP="00875735">
      <w:pPr>
        <w:tabs>
          <w:tab w:val="left" w:pos="1276"/>
        </w:tabs>
        <w:ind w:left="1064" w:hanging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12 miesięcy od daty zawarcia umowy</w:t>
      </w:r>
    </w:p>
    <w:p w:rsidR="00875735" w:rsidRDefault="00875735" w:rsidP="00875735">
      <w:pPr>
        <w:tabs>
          <w:tab w:val="left" w:pos="1276"/>
        </w:tabs>
        <w:ind w:left="1064" w:hanging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12 miesięcy od daty zawarcia umowy </w:t>
      </w:r>
    </w:p>
    <w:p w:rsidR="00875735" w:rsidRDefault="00875735" w:rsidP="00875735">
      <w:pPr>
        <w:tabs>
          <w:tab w:val="left" w:pos="1276"/>
        </w:tabs>
        <w:ind w:left="1064" w:hanging="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11: 12 miesięcy od daty zawarcia umowy</w:t>
      </w: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7 dni od złożenia zamówienia telefonicznie lub faksem lub mailem.</w:t>
      </w: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75735" w:rsidRDefault="00875735" w:rsidP="0087573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:rsidR="00875735" w:rsidRPr="002614E1" w:rsidRDefault="00875735" w:rsidP="0087573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875735" w:rsidRDefault="00875735" w:rsidP="00875735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875735" w:rsidRPr="002614E1" w:rsidRDefault="00875735" w:rsidP="00875735">
      <w:pPr>
        <w:pStyle w:val="Akapitzlist"/>
        <w:ind w:left="426"/>
        <w:jc w:val="both"/>
        <w:rPr>
          <w:rFonts w:ascii="Arial" w:hAnsi="Arial" w:cs="Arial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60</w:t>
      </w:r>
      <w:r w:rsidRPr="002614E1">
        <w:rPr>
          <w:rFonts w:ascii="Arial" w:hAnsi="Arial" w:cs="Arial"/>
        </w:rPr>
        <w:t xml:space="preserve"> dni od daty otrzymania faktury.</w:t>
      </w:r>
    </w:p>
    <w:p w:rsidR="00875735" w:rsidRPr="002614E1" w:rsidRDefault="00875735" w:rsidP="0087573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:rsidR="00875735" w:rsidRDefault="00875735" w:rsidP="0087573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75735" w:rsidRDefault="00875735" w:rsidP="0087573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15,00 zł za każdy dzień opóźnienia w wykonaniu przedmiotu umowy, a w przypadku gdy opóźnienie przekroczy 5 dni - począwszy od szóstego dnia kara wynosić będzie 30,00 zł za każdy następny dzień opóźnienia;</w:t>
      </w:r>
    </w:p>
    <w:p w:rsidR="00875735" w:rsidRDefault="00875735" w:rsidP="0087573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:rsidR="00875735" w:rsidRDefault="00875735" w:rsidP="00875735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875735" w:rsidRDefault="00875735" w:rsidP="008757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75735" w:rsidRDefault="00875735" w:rsidP="0087573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75735" w:rsidRDefault="00875735" w:rsidP="0087573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75735" w:rsidRDefault="00875735" w:rsidP="00875735">
      <w:pPr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75735" w:rsidRDefault="00875735" w:rsidP="00875735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75735" w:rsidRDefault="00875735" w:rsidP="0087573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875735" w:rsidRDefault="00875735" w:rsidP="0087573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75735" w:rsidRDefault="00875735" w:rsidP="0087573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875735" w:rsidRDefault="00875735" w:rsidP="0087573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75735" w:rsidRDefault="00875735" w:rsidP="0087573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:rsidR="00875735" w:rsidRDefault="00875735" w:rsidP="00875735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75735" w:rsidRDefault="00875735" w:rsidP="00875735">
      <w:pPr>
        <w:pStyle w:val="Akapitzlist"/>
        <w:ind w:left="426"/>
        <w:jc w:val="both"/>
        <w:rPr>
          <w:rFonts w:ascii="Arial" w:hAnsi="Arial" w:cs="Arial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8.</w:t>
      </w:r>
    </w:p>
    <w:p w:rsidR="00875735" w:rsidRDefault="00875735" w:rsidP="00875735">
      <w:pPr>
        <w:jc w:val="center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75735" w:rsidRDefault="00875735" w:rsidP="0087573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75735" w:rsidRDefault="00875735" w:rsidP="0087573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75735" w:rsidRDefault="00875735" w:rsidP="0087573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875735" w:rsidRDefault="00875735" w:rsidP="0087573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75735" w:rsidRDefault="00875735" w:rsidP="0087573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75735" w:rsidRDefault="00875735" w:rsidP="0087573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75735" w:rsidRDefault="00875735" w:rsidP="0087573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75735" w:rsidRDefault="00875735" w:rsidP="00875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5735" w:rsidRDefault="00875735" w:rsidP="00875735">
      <w:pPr>
        <w:rPr>
          <w:rFonts w:ascii="Arial" w:hAnsi="Arial" w:cs="Arial"/>
        </w:rPr>
      </w:pPr>
    </w:p>
    <w:p w:rsidR="00875735" w:rsidRDefault="00875735" w:rsidP="00875735">
      <w:pPr>
        <w:jc w:val="right"/>
      </w:pPr>
      <w:r>
        <w:lastRenderedPageBreak/>
        <w:t>Załącznik nr 4.1.</w:t>
      </w:r>
    </w:p>
    <w:p w:rsidR="00875735" w:rsidRDefault="00875735" w:rsidP="00875735">
      <w:pPr>
        <w:jc w:val="both"/>
      </w:pPr>
      <w:r>
        <w:t xml:space="preserve">Zadanie nr 1 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005F35" w:rsidRPr="000348BF" w:rsidTr="00005F35">
        <w:trPr>
          <w:cantSplit/>
          <w:trHeight w:val="624"/>
        </w:trPr>
        <w:tc>
          <w:tcPr>
            <w:tcW w:w="459" w:type="dxa"/>
            <w:shd w:val="clear" w:color="auto" w:fill="F2F2F2" w:themeFill="background1" w:themeFillShade="F2"/>
            <w:vAlign w:val="center"/>
            <w:hideMark/>
          </w:tcPr>
          <w:p w:rsidR="00005F35" w:rsidRPr="000348BF" w:rsidRDefault="00005F35" w:rsidP="00005F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  <w:hideMark/>
          </w:tcPr>
          <w:p w:rsidR="00005F35" w:rsidRPr="000348BF" w:rsidRDefault="00005F35" w:rsidP="00005F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  <w:hideMark/>
          </w:tcPr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  <w:hideMark/>
          </w:tcPr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(za 1 opak./szt.)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  <w:hideMark/>
          </w:tcPr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opak./szt.)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05F35" w:rsidRPr="000348BF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005F35" w:rsidRPr="00B81F60" w:rsidTr="00005F35">
        <w:trPr>
          <w:cantSplit/>
          <w:trHeight w:val="624"/>
        </w:trPr>
        <w:tc>
          <w:tcPr>
            <w:tcW w:w="459" w:type="dxa"/>
            <w:shd w:val="clear" w:color="auto" w:fill="auto"/>
            <w:vAlign w:val="center"/>
            <w:hideMark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Gotowy do użycia marker wielkości DNA (zmieszany z 6X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TriTrack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DNA) do analizy produktów PCR metodą elektroforezy w żelu będący krotnością odcinka wielkości 100 par zasad w zakresie 10 - 1 000 par zasad                          (10 fragmentów).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Dodatkowo pożądany marker wielkości pakowany                                   w opakowaniu firmowym z buforem obciążającym </w:t>
            </w:r>
            <w:r w:rsidRPr="00DE6CE6">
              <w:rPr>
                <w:rFonts w:ascii="Arial" w:hAnsi="Arial" w:cs="Arial"/>
                <w:color w:val="333333"/>
                <w:sz w:val="18"/>
                <w:szCs w:val="18"/>
              </w:rPr>
              <w:t xml:space="preserve">6X </w:t>
            </w:r>
            <w:proofErr w:type="spellStart"/>
            <w:r w:rsidRPr="00DE6CE6">
              <w:rPr>
                <w:rFonts w:ascii="Arial" w:hAnsi="Arial" w:cs="Arial"/>
                <w:color w:val="333333"/>
                <w:sz w:val="18"/>
                <w:szCs w:val="18"/>
              </w:rPr>
              <w:t>TriTrack</w:t>
            </w:r>
            <w:proofErr w:type="spellEnd"/>
            <w:r w:rsidRPr="00DE6CE6">
              <w:rPr>
                <w:rFonts w:ascii="Arial" w:hAnsi="Arial" w:cs="Arial"/>
                <w:color w:val="333333"/>
                <w:sz w:val="18"/>
                <w:szCs w:val="18"/>
              </w:rPr>
              <w:t xml:space="preserve"> DNA. </w:t>
            </w:r>
            <w:r w:rsidRPr="00DE6CE6">
              <w:rPr>
                <w:rFonts w:ascii="Arial" w:hAnsi="Arial" w:cs="Arial"/>
                <w:sz w:val="18"/>
                <w:szCs w:val="18"/>
              </w:rPr>
              <w:t xml:space="preserve">                       1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= 500 µL markera wielkości oraz 1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buforu obciążającego 6X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TriTrack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Okres przydatności nie krótszy niż 12 miesięcy od daty dostawy.</w:t>
            </w:r>
          </w:p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>Produkt identyczny lub równoważny                   z produktem o nr kat. SM0243.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5F35" w:rsidRPr="00B81F60" w:rsidTr="00005F35">
        <w:trPr>
          <w:cantSplit/>
          <w:trHeight w:val="624"/>
        </w:trPr>
        <w:tc>
          <w:tcPr>
            <w:tcW w:w="459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05F35" w:rsidRPr="00DE6CE6" w:rsidRDefault="00005F35" w:rsidP="00005F3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Gotowy do użycia marker wielkości RNA (zmieszany z 2X RNA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Loading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Dye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 do analizy fragmentów RNA metodą elektroforezy w żelu w zakresie 200 - 6 000 par zasad (8 fragmentów). Gotowy do użycia marker wielkości RNA musi być pakowany w opakowaniu firmowym z buforem obciążającym 2X RNA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Loading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Dye.                                                                                    Całość zestawu pakowana firmowo przez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producenta.                                                                 1 op. = 5 x 40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uL.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Okres przydatności nie krótszy niż 12 miesięcy od daty dostawy.</w:t>
            </w:r>
          </w:p>
          <w:p w:rsidR="00005F35" w:rsidRPr="00DE6CE6" w:rsidRDefault="00005F35" w:rsidP="00005F3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Produkt identyczny lub równoważny                 z produktem o nr kat.  SM1823.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5F35" w:rsidRPr="00B81F60" w:rsidTr="00005F35">
        <w:trPr>
          <w:cantSplit/>
          <w:trHeight w:val="624"/>
        </w:trPr>
        <w:tc>
          <w:tcPr>
            <w:tcW w:w="459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F6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Kompletny zestaw odczynników do przeprowadzenia reakcji odwrotnej transkrypcji umożliwiający efektywną syntezę pierwszej nici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cDNA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 długości do 13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kpz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na matrycy RNA składający się z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RevertAid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Reverse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Transcriptase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RiboLock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RNase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Inhibitor, 5X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Reaction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Buffer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dNTP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Mix,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Oligo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dT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)18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Primer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Random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Hexamer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Primer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Control GAPDH RNA, 10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μM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Forward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GAPDH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Primer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10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μM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Reverse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GAPDH </w:t>
            </w:r>
            <w:proofErr w:type="spellStart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Primer</w:t>
            </w:r>
            <w:proofErr w:type="spellEnd"/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Zestaw umożliwia wykonanie 100 reakcji odwrotnej transkrypcji. </w:t>
            </w:r>
            <w:r w:rsidRPr="00DE6CE6">
              <w:rPr>
                <w:rFonts w:ascii="Arial" w:hAnsi="Arial" w:cs="Arial"/>
                <w:color w:val="333333"/>
                <w:sz w:val="18"/>
                <w:szCs w:val="18"/>
              </w:rPr>
              <w:t xml:space="preserve">Całość zestawu pakowana firmowo przez producenta. </w:t>
            </w:r>
            <w:r w:rsidRPr="00DE6CE6">
              <w:rPr>
                <w:rFonts w:ascii="Arial" w:hAnsi="Arial" w:cs="Arial"/>
                <w:sz w:val="18"/>
                <w:szCs w:val="18"/>
              </w:rPr>
              <w:t xml:space="preserve">Okres przydatności nie krótszy niż 12 miesięcy od daty dostawy. Produkt identyczny lub równoważny z produktem o nr kat. </w:t>
            </w:r>
            <w:r w:rsidRPr="00DE6C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K1622.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005F35" w:rsidRPr="00DE6CE6" w:rsidRDefault="00005F35" w:rsidP="00005F35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Pr="00DE6C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005F35" w:rsidRPr="00B81F60" w:rsidRDefault="00005F35" w:rsidP="00005F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5F35" w:rsidRPr="00B81F60" w:rsidTr="00005F35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35" w:rsidRPr="00B81F60" w:rsidRDefault="00005F35" w:rsidP="00005F35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81F6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5" w:rsidRPr="00B81F60" w:rsidRDefault="00005F35" w:rsidP="00005F35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5" w:rsidRPr="00B81F60" w:rsidRDefault="00005F35" w:rsidP="00005F35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5" w:rsidRDefault="00005F35" w:rsidP="00005F35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:rsidR="00005F35" w:rsidRPr="00B81F60" w:rsidRDefault="00005F35" w:rsidP="00005F35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tab/>
      </w:r>
    </w:p>
    <w:p w:rsidR="00875735" w:rsidRDefault="00875735" w:rsidP="0087573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</w:t>
      </w:r>
    </w:p>
    <w:p w:rsidR="00875735" w:rsidRDefault="00875735" w:rsidP="008757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DE6CE6" w:rsidRDefault="00DE6CE6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lastRenderedPageBreak/>
        <w:t>Załącznik nr 4.2.</w:t>
      </w:r>
    </w:p>
    <w:p w:rsidR="00875735" w:rsidRDefault="00875735" w:rsidP="00875735">
      <w:pPr>
        <w:jc w:val="both"/>
      </w:pPr>
      <w:r>
        <w:t>Zadanie nr 2</w:t>
      </w:r>
    </w:p>
    <w:p w:rsidR="00875735" w:rsidRDefault="00875735" w:rsidP="00875735">
      <w:pPr>
        <w:jc w:val="both"/>
      </w:pPr>
    </w:p>
    <w:tbl>
      <w:tblPr>
        <w:tblW w:w="102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240"/>
        <w:gridCol w:w="742"/>
        <w:gridCol w:w="1417"/>
        <w:gridCol w:w="851"/>
        <w:gridCol w:w="1134"/>
        <w:gridCol w:w="992"/>
        <w:gridCol w:w="1418"/>
      </w:tblGrid>
      <w:tr w:rsidR="000348BF" w:rsidRPr="000348BF" w:rsidTr="000348BF">
        <w:trPr>
          <w:cantSplit/>
          <w:trHeight w:val="624"/>
        </w:trPr>
        <w:tc>
          <w:tcPr>
            <w:tcW w:w="466" w:type="dxa"/>
            <w:shd w:val="clear" w:color="auto" w:fill="F2F2F2" w:themeFill="background1" w:themeFillShade="F2"/>
            <w:vAlign w:val="center"/>
            <w:hideMark/>
          </w:tcPr>
          <w:p w:rsidR="003B589B" w:rsidRPr="000348BF" w:rsidRDefault="003B589B" w:rsidP="003B58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  <w:hideMark/>
          </w:tcPr>
          <w:p w:rsidR="003B589B" w:rsidRPr="000348BF" w:rsidRDefault="003B589B" w:rsidP="003B589B">
            <w:pPr>
              <w:ind w:right="21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  <w:hideMark/>
          </w:tcPr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 xml:space="preserve">(ilość opakowań  x cena jedn. </w:t>
            </w:r>
            <w:proofErr w:type="spellStart"/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opakow</w:t>
            </w:r>
            <w:proofErr w:type="spellEnd"/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589B" w:rsidRPr="000348BF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3B589B" w:rsidRPr="00B52BC2" w:rsidTr="000348BF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  <w:hideMark/>
          </w:tcPr>
          <w:p w:rsidR="003B589B" w:rsidRDefault="003B589B" w:rsidP="003B58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589B" w:rsidRPr="00DE6CE6" w:rsidRDefault="003B589B" w:rsidP="003B589B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Końcówki o objętości 0,1 – 10 µL, sterylne i wolne od pirogenów, 40 mm długości, wyposażone w filtr składający się z dwóch hydrofobowych warstw filtracyjnych różniących się od siebie wielkością porów, brak zanieczyszczeń związkami zaburzającymi reakcję PCR, pakowane w sterylne pudełka po 96 sztuk; pasujące do wszystkich typów pipet (jedno-                    i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DE6CE6">
              <w:rPr>
                <w:rFonts w:ascii="Arial" w:hAnsi="Arial" w:cs="Arial"/>
                <w:sz w:val="18"/>
                <w:szCs w:val="18"/>
              </w:rPr>
              <w:t xml:space="preserve">ielokanałowych) firmy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,                     w tym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Plus, Reference i Reference 2.</w:t>
            </w:r>
          </w:p>
          <w:p w:rsidR="003B589B" w:rsidRPr="00DE6CE6" w:rsidRDefault="003B589B" w:rsidP="003B58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Produkt musi składa się z 10 pudełek po 96 końcówek pakowanych firmowo przez producenta. Produkt identyczny lub równoważny z produktem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Dualfilter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T.I.P.S. firmy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 o nr kat. 0030077512. </w:t>
            </w:r>
          </w:p>
          <w:p w:rsidR="003B589B" w:rsidRPr="00DE6CE6" w:rsidRDefault="003B589B" w:rsidP="003B58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CE6">
              <w:rPr>
                <w:rFonts w:ascii="Arial" w:hAnsi="Arial" w:cs="Arial"/>
                <w:b/>
                <w:bCs/>
                <w:sz w:val="18"/>
                <w:szCs w:val="18"/>
              </w:rPr>
              <w:t>Wymagane w celu przetestowania – 5 szt.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B589B" w:rsidRPr="00DE6CE6" w:rsidRDefault="003B589B" w:rsidP="003B589B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>4  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348BF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:rsidR="003B589B" w:rsidRDefault="003B589B" w:rsidP="003B58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589B" w:rsidRPr="00DE6CE6" w:rsidRDefault="003B589B" w:rsidP="003B58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Końcówki o objętości 2 – 200 µL, sterylne i wolne od pirogenów, 55 mm długości, wyposażone w filtr składający się z dwóch hydrofobowych warstw filtracyjnych różniących się od siebie wielkością porów, brak zanieczyszczeń związkami zaburzającymi reakcję PCR, pakowane                  w sterylne pudełka po 96 sztuk; pasujące do wszystkich typów pipet (jedno-                     i wielokanałowych) firmy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,                      w tym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Plus, Reference i Reference 2.</w:t>
            </w:r>
          </w:p>
          <w:p w:rsidR="003B589B" w:rsidRPr="00DE6CE6" w:rsidRDefault="003B589B" w:rsidP="003B589B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Produkt składa się z 10 pudełek po 96 końcówek pakowanych firmowo przez producenta. Produkt identyczny lub równoważny z produktem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Dualfilter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T.I.P.S. firmy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o nr kat.  0030077555. </w:t>
            </w:r>
            <w:r w:rsidRPr="00DE6CE6">
              <w:rPr>
                <w:rFonts w:ascii="Arial" w:hAnsi="Arial" w:cs="Arial"/>
                <w:b/>
                <w:bCs/>
                <w:sz w:val="18"/>
                <w:szCs w:val="18"/>
              </w:rPr>
              <w:t>Wymagane w celu przetestowania – 5 szt.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B589B" w:rsidRPr="00DE6CE6" w:rsidRDefault="003B589B" w:rsidP="003B589B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348BF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:rsidR="003B589B" w:rsidRDefault="003B589B" w:rsidP="003B58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589B" w:rsidRPr="00DE6CE6" w:rsidRDefault="003B589B" w:rsidP="003B58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Końcówki o objętości 50 – 1000 µL, sterylne i wolne od pirogenów, 76 mm długości, wyposażone w filtr składający się z dwóch hydrofobowych warstw filtracyjnych różniących się od siebie wielkością porów, brak zanieczyszczeń związkami zaburzającymi reakcję PCR, pakowane w sterylne pudełka po 96 sztuk; pasujące do wszystkich typów pipet (jedno- i wielokanałowych) firmy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Plus, Reference i Reference 2. </w:t>
            </w:r>
          </w:p>
          <w:p w:rsidR="003B589B" w:rsidRPr="00DE6CE6" w:rsidRDefault="003B589B" w:rsidP="003B58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Produkt składa się z 10 pudełek po 96 końcówek pakowanych firmowo przez producenta. </w:t>
            </w:r>
          </w:p>
          <w:p w:rsidR="003B589B" w:rsidRPr="00DE6CE6" w:rsidRDefault="003B589B" w:rsidP="003B58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sz w:val="18"/>
                <w:szCs w:val="18"/>
              </w:rPr>
              <w:t xml:space="preserve">Produkt identyczny lub równoważny                        z produktem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Dualfilter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T.I.P.S. firmy </w:t>
            </w:r>
            <w:proofErr w:type="spellStart"/>
            <w:r w:rsidRPr="00DE6CE6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DE6CE6">
              <w:rPr>
                <w:rFonts w:ascii="Arial" w:hAnsi="Arial" w:cs="Arial"/>
                <w:sz w:val="18"/>
                <w:szCs w:val="18"/>
              </w:rPr>
              <w:t xml:space="preserve"> o nr kat.  0030077571. </w:t>
            </w:r>
            <w:r w:rsidRPr="001E1D12">
              <w:rPr>
                <w:rFonts w:ascii="Arial" w:hAnsi="Arial" w:cs="Arial"/>
                <w:b/>
                <w:bCs/>
                <w:sz w:val="18"/>
                <w:szCs w:val="18"/>
              </w:rPr>
              <w:t>Wymagane w celu przetestowania – 5 szt.</w:t>
            </w:r>
            <w:r w:rsidRPr="00DE6C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B589B" w:rsidRPr="00DE6CE6" w:rsidRDefault="003B589B" w:rsidP="003B589B">
            <w:pPr>
              <w:rPr>
                <w:rFonts w:ascii="Arial" w:hAnsi="Arial" w:cs="Arial"/>
                <w:sz w:val="18"/>
                <w:szCs w:val="18"/>
              </w:rPr>
            </w:pPr>
            <w:r w:rsidRPr="00DE6CE6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Tr="000348BF">
        <w:trPr>
          <w:cantSplit/>
          <w:trHeight w:val="624"/>
        </w:trPr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Default="003B589B" w:rsidP="003B589B">
            <w:pPr>
              <w:spacing w:line="256" w:lineRule="auto"/>
              <w:ind w:right="24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ind w:right="28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B589B" w:rsidRDefault="003B589B" w:rsidP="003B58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tab/>
      </w:r>
    </w:p>
    <w:p w:rsidR="00875735" w:rsidRDefault="00875735" w:rsidP="0087573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875735" w:rsidRDefault="00875735" w:rsidP="008757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0348BF" w:rsidRDefault="000348BF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lastRenderedPageBreak/>
        <w:t>Załącznik nr 4.3.</w:t>
      </w:r>
    </w:p>
    <w:p w:rsidR="00875735" w:rsidRDefault="00875735" w:rsidP="00875735">
      <w:pPr>
        <w:jc w:val="both"/>
      </w:pPr>
      <w:r>
        <w:t>Zadanie nr 3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851"/>
        <w:gridCol w:w="1134"/>
        <w:gridCol w:w="850"/>
        <w:gridCol w:w="1134"/>
        <w:gridCol w:w="993"/>
        <w:gridCol w:w="1701"/>
      </w:tblGrid>
      <w:tr w:rsidR="003B589B" w:rsidRPr="00027FDC" w:rsidTr="000348BF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Ilość</w:t>
            </w:r>
          </w:p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Cena jednostkowa  netto PLN</w:t>
            </w:r>
          </w:p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(za 1 opak.</w:t>
            </w:r>
            <w:r>
              <w:rPr>
                <w:rFonts w:ascii="Arial" w:hAnsi="Arial" w:cs="Arial"/>
                <w:color w:val="000000"/>
              </w:rPr>
              <w:t>/szt.</w:t>
            </w:r>
            <w:r w:rsidRPr="00027FD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589B" w:rsidRPr="00EF2E9D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(ilość opak</w:t>
            </w:r>
            <w:r w:rsidR="00005F35">
              <w:rPr>
                <w:rFonts w:ascii="Arial" w:hAnsi="Arial" w:cs="Arial"/>
                <w:color w:val="000000"/>
              </w:rPr>
              <w:t>./szt.</w:t>
            </w:r>
            <w:r w:rsidRPr="00EF2E9D">
              <w:rPr>
                <w:rFonts w:ascii="Arial" w:hAnsi="Arial" w:cs="Arial"/>
                <w:color w:val="000000"/>
              </w:rPr>
              <w:t xml:space="preserve">  x cena jedn. opak</w:t>
            </w:r>
            <w:r>
              <w:rPr>
                <w:rFonts w:ascii="Arial" w:hAnsi="Arial" w:cs="Arial"/>
                <w:color w:val="000000"/>
              </w:rPr>
              <w:t>./szt.</w:t>
            </w:r>
            <w:r w:rsidRPr="00EF2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3B589B" w:rsidRPr="00B52BC2" w:rsidTr="000348BF">
        <w:trPr>
          <w:cantSplit/>
          <w:trHeight w:val="1644"/>
        </w:trPr>
        <w:tc>
          <w:tcPr>
            <w:tcW w:w="468" w:type="dxa"/>
            <w:shd w:val="clear" w:color="auto" w:fill="auto"/>
            <w:vAlign w:val="center"/>
          </w:tcPr>
          <w:p w:rsidR="003B589B" w:rsidRDefault="003B589B" w:rsidP="003B58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B589B" w:rsidRPr="00302EFB" w:rsidRDefault="003B589B" w:rsidP="003B589B">
            <w:pPr>
              <w:spacing w:before="24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 xml:space="preserve">Probówki 0,5 </w:t>
            </w:r>
            <w:proofErr w:type="spellStart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proofErr w:type="spellEnd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 xml:space="preserve"> PCR zaprojektowane                                        do użycia z </w:t>
            </w:r>
            <w:proofErr w:type="spellStart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fluorometrem</w:t>
            </w:r>
            <w:proofErr w:type="spellEnd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Quantus</w:t>
            </w:r>
            <w:proofErr w:type="spellEnd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 xml:space="preserve">™ i systemami </w:t>
            </w:r>
            <w:proofErr w:type="spellStart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QuantiFluor</w:t>
            </w:r>
            <w:proofErr w:type="spellEnd"/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 xml:space="preserve">®. Umożliwiające pomiar fluorymetryczny DNA. Łatwo opisywalne. 1op = 1 torebka × 50 probówek.  Produkt identyczny lub równoważny                             z produktem o nr kat. E4941. </w:t>
            </w:r>
            <w:r w:rsidRPr="00902295">
              <w:rPr>
                <w:rFonts w:ascii="Arial" w:hAnsi="Arial" w:cs="Arial"/>
                <w:b/>
                <w:bCs/>
                <w:sz w:val="18"/>
                <w:szCs w:val="18"/>
              </w:rPr>
              <w:t>Wymagane w celu przetestowania – 5 sztuk.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89B" w:rsidRPr="00302EFB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10 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348BF">
        <w:trPr>
          <w:cantSplit/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3B589B" w:rsidRDefault="003B589B" w:rsidP="003B58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B589B" w:rsidRPr="00302EFB" w:rsidRDefault="003B589B" w:rsidP="003B589B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 w:rsidRPr="00302EFB">
              <w:rPr>
                <w:rFonts w:ascii="Arial" w:hAnsi="Arial" w:cs="Arial"/>
                <w:sz w:val="18"/>
                <w:szCs w:val="18"/>
              </w:rPr>
              <w:t xml:space="preserve">Zestaw odczynników  umożliwiający pomiar fluorymetryczny stężenia dwuniciowego DNA zaprojektowane do użycia z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fluorometrem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Quantus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™.  Zestaw musi być bardzo wysoko selektywny względem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dsDNA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w stosunku do innych kwasów nukleinowych. Zestaw ten musi umożliwiać wykonanie 100 pomiarów w objętości reakcyjnej 200 ul. Zestaw ten musi zawierać  1 × 20ml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QuantiFluor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® ONE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dsDNA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Dye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,  80μg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QuantiFluor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® ONE Lambda DNA (400μg/ml) oraz  10 ml 1X TE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Buffer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7.5).                              Okres przydatności zestawu nie krótszy niż 12 miesięcy od daty dostawy. Produkt identyczny lub równoważny z produktem o nr kat. E4871.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89B" w:rsidRPr="00302EFB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348BF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3B589B" w:rsidRDefault="003B589B" w:rsidP="003B58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B589B" w:rsidRPr="00302EFB" w:rsidRDefault="003B589B" w:rsidP="003B589B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 w:rsidRPr="00302EFB">
              <w:rPr>
                <w:rFonts w:ascii="Arial" w:hAnsi="Arial" w:cs="Arial"/>
                <w:sz w:val="18"/>
                <w:szCs w:val="18"/>
              </w:rPr>
              <w:t xml:space="preserve">Bufor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Tris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-EDTA 1X (10mM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Tris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-HCl , 1mM EDTA•Na2, </w:t>
            </w:r>
            <w:proofErr w:type="spellStart"/>
            <w:r w:rsidRPr="00302EFB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302EFB">
              <w:rPr>
                <w:rFonts w:ascii="Arial" w:hAnsi="Arial" w:cs="Arial"/>
                <w:sz w:val="18"/>
                <w:szCs w:val="18"/>
              </w:rPr>
              <w:t xml:space="preserve"> 8.0) w klasie czystości wykorzystywanej do badań w biologii molekularnej. 1 op. = 100 ml.                                    Okres przydatności zestawu nie krótszy niż 12 miesięcy od daty dostawy. Produkt identyczny lub równoważny z produktem o nr kat. V6231.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89B" w:rsidRPr="00302EFB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EFB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0508BB" w:rsidTr="000348BF">
        <w:trPr>
          <w:cantSplit/>
          <w:trHeight w:val="624"/>
        </w:trPr>
        <w:tc>
          <w:tcPr>
            <w:tcW w:w="6237" w:type="dxa"/>
            <w:gridSpan w:val="5"/>
            <w:shd w:val="clear" w:color="auto" w:fill="auto"/>
            <w:vAlign w:val="center"/>
          </w:tcPr>
          <w:p w:rsidR="003B589B" w:rsidRPr="000508BB" w:rsidRDefault="003B589B" w:rsidP="003B5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3B589B" w:rsidRPr="000508BB" w:rsidRDefault="003B589B" w:rsidP="003B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B589B" w:rsidRPr="000508BB" w:rsidRDefault="003B589B" w:rsidP="003B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589B" w:rsidRPr="000508BB" w:rsidRDefault="003B589B" w:rsidP="003B5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5735" w:rsidRDefault="00875735" w:rsidP="00875735">
      <w:pPr>
        <w:ind w:left="5812"/>
        <w:jc w:val="both"/>
      </w:pPr>
      <w:r>
        <w:t xml:space="preserve">                                    ………………………………………</w:t>
      </w:r>
    </w:p>
    <w:p w:rsidR="00875735" w:rsidRDefault="00875735" w:rsidP="008757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5735" w:rsidRDefault="00875735" w:rsidP="00875735">
      <w:pPr>
        <w:jc w:val="right"/>
      </w:pPr>
      <w:r>
        <w:lastRenderedPageBreak/>
        <w:t>Załącznik nr 4.4.</w:t>
      </w:r>
    </w:p>
    <w:p w:rsidR="00875735" w:rsidRDefault="00875735" w:rsidP="00875735">
      <w:pPr>
        <w:jc w:val="both"/>
      </w:pPr>
      <w:r>
        <w:t>Zadanie nr 4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28"/>
        <w:gridCol w:w="963"/>
        <w:gridCol w:w="1378"/>
        <w:gridCol w:w="898"/>
        <w:gridCol w:w="1063"/>
        <w:gridCol w:w="874"/>
        <w:gridCol w:w="1821"/>
      </w:tblGrid>
      <w:tr w:rsidR="003B589B" w:rsidRPr="00027FDC" w:rsidTr="00027FDC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066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Ilość</w:t>
            </w:r>
          </w:p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Cena jednostkowa  netto PLN</w:t>
            </w:r>
          </w:p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(za 1 opak.</w:t>
            </w:r>
            <w:r>
              <w:rPr>
                <w:rFonts w:ascii="Arial" w:hAnsi="Arial" w:cs="Arial"/>
                <w:color w:val="000000"/>
              </w:rPr>
              <w:t>/szt.</w:t>
            </w:r>
            <w:r w:rsidRPr="00027FD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3B589B" w:rsidRPr="00EF2E9D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(ilość opak</w:t>
            </w:r>
            <w:r w:rsidR="00005F35">
              <w:rPr>
                <w:rFonts w:ascii="Arial" w:hAnsi="Arial" w:cs="Arial"/>
                <w:color w:val="000000"/>
              </w:rPr>
              <w:t>./szt.</w:t>
            </w:r>
            <w:r w:rsidRPr="00EF2E9D">
              <w:rPr>
                <w:rFonts w:ascii="Arial" w:hAnsi="Arial" w:cs="Arial"/>
                <w:color w:val="000000"/>
              </w:rPr>
              <w:t xml:space="preserve"> x cena jedn.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EF2E9D">
              <w:rPr>
                <w:rFonts w:ascii="Arial" w:hAnsi="Arial" w:cs="Arial"/>
                <w:color w:val="000000"/>
              </w:rPr>
              <w:t>pak</w:t>
            </w:r>
            <w:r>
              <w:rPr>
                <w:rFonts w:ascii="Arial" w:hAnsi="Arial" w:cs="Arial"/>
                <w:color w:val="000000"/>
              </w:rPr>
              <w:t>./szt.</w:t>
            </w:r>
            <w:r w:rsidRPr="00EF2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3B589B" w:rsidRPr="00027FDC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027FDC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3B589B" w:rsidRPr="00B52BC2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B589B" w:rsidRPr="00247523" w:rsidRDefault="003B589B" w:rsidP="003B589B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B589B" w:rsidRPr="003E0CA4" w:rsidRDefault="003B589B" w:rsidP="003B589B">
            <w:pPr>
              <w:rPr>
                <w:rFonts w:ascii="Arial" w:hAnsi="Arial" w:cs="Arial"/>
                <w:sz w:val="18"/>
                <w:szCs w:val="18"/>
              </w:rPr>
            </w:pPr>
            <w:r w:rsidRPr="003E0CA4">
              <w:rPr>
                <w:rFonts w:ascii="Arial" w:hAnsi="Arial" w:cs="Arial"/>
                <w:sz w:val="18"/>
                <w:szCs w:val="18"/>
              </w:rPr>
              <w:t>Pudełko na probówki o obj. 0,2 ml pojedyncze lub w paskach 8- lub 12 stanowiskowych. Pudełko musi być 196-miejscowe (rzędy 14×14) z przeźroczystą pyłoszczelną pokrywką zapobiegającą wypadaniu probówek. Pudełko musi umożliwiać układani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E0CA4">
              <w:rPr>
                <w:rFonts w:ascii="Arial" w:hAnsi="Arial" w:cs="Arial"/>
                <w:sz w:val="18"/>
                <w:szCs w:val="18"/>
              </w:rPr>
              <w:t xml:space="preserve"> w stosy. Pola pudełka muszą posiadać oznaczenia alfanumeryczne. Pudełko musi być wykonane z polipropylenu.                                                            Pudełko musi być </w:t>
            </w:r>
            <w:proofErr w:type="spellStart"/>
            <w:r w:rsidRPr="003E0CA4">
              <w:rPr>
                <w:rFonts w:ascii="Arial" w:hAnsi="Arial" w:cs="Arial"/>
                <w:sz w:val="18"/>
                <w:szCs w:val="18"/>
              </w:rPr>
              <w:t>autoklawowalne</w:t>
            </w:r>
            <w:proofErr w:type="spellEnd"/>
            <w:r w:rsidRPr="003E0CA4">
              <w:rPr>
                <w:rFonts w:ascii="Arial" w:hAnsi="Arial" w:cs="Arial"/>
                <w:sz w:val="18"/>
                <w:szCs w:val="18"/>
              </w:rPr>
              <w:t xml:space="preserve"> do 121°C. Kolor pudełka musi być niebieski. Pudełko musi mieć następujące wymiary z pokrywką (dł. x szer. x wys.): 133 x 133 x 30 mm. Produkt identyczny lub równoważny z produktem o nr kat. 2-1914.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B589B" w:rsidRPr="003E0CA4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B589B" w:rsidRDefault="003B589B" w:rsidP="003B5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B589B" w:rsidRPr="003E0CA4" w:rsidRDefault="003B589B" w:rsidP="003B589B">
            <w:p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96-stanowiskowe (8 x 12 miejsc) pudełka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omplecie z przeźroczystą, pyłoszczelną pokrywką. Przystosowane do probówek PCR pojedynczych lub w paskach o pojemności 0,2 ml. Z oznaczeniami alfanumerycznymi. Możliwość ustawiania piętrowego. Wykonane z polipropylenu. </w:t>
            </w:r>
            <w:proofErr w:type="spellStart"/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Autoklawowalne</w:t>
            </w:r>
            <w:proofErr w:type="spellEnd"/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 do 121°C. Kolor pudełek musi być niebieski. Pudełko musi mieć następujące wymiary z pokrywką (dł. x szer. wys.): 125 x 88 x 32 mm. 5 szt. = 1 op. Produkt identyczny lub równoważny z produktem o nr kat. L-4884.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B589B" w:rsidRPr="003E0CA4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B589B" w:rsidRDefault="003B589B" w:rsidP="003B5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B589B" w:rsidRPr="003E0CA4" w:rsidRDefault="003B589B" w:rsidP="003B589B">
            <w:p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Polipropylenowy dwustronny statyw  z przeźroczystą pokrywką wyposażony w 96 + 6 dodatkowych stanowisk na probówki.  Z oznaczeniami alfanumerycznymi. Przeznaczony na probówki o średnicy od 6 do 13 mm co umożliwia umieszczanie probówek  o poj. 0,5/1,5/2,0 ml. Wymiary: 220 x 150 x 50 mm  (dł. x szer. x wys.). Część górna: 12 x 8 rzędów na probówki  o poj. 1,5 lub 2,0 ml (96 stanowisk) z 6 dodatkowymi stanowiskami na probówki  o poj. 0,5 ml. Część dolna: 12 x 8 rzędów  na probówki o poj. 0,5 ml (96 stanowisk)  z 6 dodatkowymi stanowiskami  na probówki. Produkt identyczny lub równoważny z produktem o nr kat. 4-0011.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B589B" w:rsidRPr="003E0CA4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B589B" w:rsidRDefault="003B589B" w:rsidP="003B5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B589B" w:rsidRPr="003E0CA4" w:rsidRDefault="003B589B" w:rsidP="003B589B">
            <w:p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Polipropylenowy statyw, z dwoma uchwytami wyposażony w 80 stanowisk  na probówki o poj. 1,5 i 2 ml. Odporny  na temp. od -80°C  do +125°C. Wymiary: 225 x 65 x 28 mm (dł. x szer. x wys.). Produkt identyczny lub równoważny z produktem o nr kat. 2-2564.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B589B" w:rsidRPr="003E0CA4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B589B" w:rsidRDefault="003B589B" w:rsidP="003B5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B589B" w:rsidRPr="003E0CA4" w:rsidRDefault="003B589B" w:rsidP="003B589B">
            <w:p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Chusteczki czyszczące z </w:t>
            </w:r>
            <w:proofErr w:type="spellStart"/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mikrowłókien</w:t>
            </w:r>
            <w:proofErr w:type="spellEnd"/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 xml:space="preserve"> nasączone alkoholem. Zawierające 70% alkoholu izopropylowego dla łagodnej dezynfekcji. Nie strzępiące się. Muszą być dostarczane w oddzielnych perforowanych torebkach z wewnętrzną powłoką aluminiową zabezpieczającą przed utratą wilgotności. Muszą mieć wymiary 30 x 65 mm. 1 op. = 100 szt. Produkt identyczny lub równoważny  z produktem o nr kat. 1-6001.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B589B" w:rsidRPr="003E0CA4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5 op.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RPr="00B52BC2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3B589B" w:rsidRDefault="003B589B" w:rsidP="003B5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3B589B" w:rsidRPr="003E0CA4" w:rsidRDefault="003B589B" w:rsidP="003B589B">
            <w:p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Blok papieru do czyszczenia soczewek nadający się czyszczenia powierzchni wrażliwych, jak soczewki, szkiełka podstawowe, kuwety, szkiełka nakrywkowe itp. Papier musi mieć wymiary: 10 x 13 cm. 1 op. = 250 arkuszy. Produkt identyczny lub równoważny z produktem o nr kat. 1-7218.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B589B" w:rsidRPr="003E0CA4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A4">
              <w:rPr>
                <w:rFonts w:ascii="Arial" w:hAnsi="Arial" w:cs="Arial"/>
                <w:color w:val="000000"/>
                <w:sz w:val="18"/>
                <w:szCs w:val="18"/>
              </w:rPr>
              <w:t>5 op.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3B589B" w:rsidRPr="003B56E6" w:rsidRDefault="003B589B" w:rsidP="003B58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:rsidR="003B589B" w:rsidRPr="00B52BC2" w:rsidRDefault="003B589B" w:rsidP="003B58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89B" w:rsidTr="00027FDC">
        <w:trPr>
          <w:cantSplit/>
          <w:trHeight w:val="624"/>
        </w:trPr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Default="003B589B" w:rsidP="003B589B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Default="003B589B" w:rsidP="003B589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tab/>
      </w:r>
    </w:p>
    <w:p w:rsidR="00875735" w:rsidRDefault="00875735" w:rsidP="0087573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875735" w:rsidRDefault="00875735" w:rsidP="008757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3E0CA4" w:rsidRDefault="003E0CA4" w:rsidP="00875735"/>
    <w:p w:rsidR="003E0CA4" w:rsidRDefault="003E0CA4" w:rsidP="00875735"/>
    <w:p w:rsidR="003E0CA4" w:rsidRDefault="003E0CA4" w:rsidP="00875735"/>
    <w:p w:rsidR="003E0CA4" w:rsidRDefault="003E0CA4" w:rsidP="00875735"/>
    <w:p w:rsidR="003E0CA4" w:rsidRDefault="003E0CA4" w:rsidP="00875735"/>
    <w:p w:rsidR="003E0CA4" w:rsidRDefault="003E0CA4" w:rsidP="00875735"/>
    <w:p w:rsidR="00875735" w:rsidRDefault="00875735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B97286" w:rsidRDefault="00B97286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>
      <w:pPr>
        <w:jc w:val="right"/>
      </w:pPr>
      <w:r>
        <w:lastRenderedPageBreak/>
        <w:t>Załącznik nr 4.5.</w:t>
      </w:r>
    </w:p>
    <w:p w:rsidR="00875735" w:rsidRDefault="00875735" w:rsidP="00875735">
      <w:pPr>
        <w:jc w:val="both"/>
      </w:pPr>
      <w:r>
        <w:t>Zadanie nr 5</w:t>
      </w: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tbl>
      <w:tblPr>
        <w:tblW w:w="1053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5"/>
        <w:gridCol w:w="1072"/>
        <w:gridCol w:w="1384"/>
        <w:gridCol w:w="919"/>
        <w:gridCol w:w="1122"/>
        <w:gridCol w:w="1122"/>
        <w:gridCol w:w="1617"/>
      </w:tblGrid>
      <w:tr w:rsidR="003B589B" w:rsidRPr="00027FDC" w:rsidTr="00027FD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Cena jednostkowa  netto PLN</w:t>
            </w:r>
          </w:p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(za 1 opak.)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EF2E9D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2E9D">
              <w:rPr>
                <w:rFonts w:ascii="Arial" w:hAnsi="Arial" w:cs="Arial"/>
                <w:color w:val="000000"/>
              </w:rPr>
              <w:t xml:space="preserve">(ilość opakowań  x cena jedn. </w:t>
            </w:r>
            <w:proofErr w:type="spellStart"/>
            <w:r w:rsidRPr="00EF2E9D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EF2E9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3B589B" w:rsidTr="00027FDC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Pr="00247523" w:rsidRDefault="003B589B" w:rsidP="003B589B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Pr="00CE5060" w:rsidRDefault="003B589B" w:rsidP="003B589B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Barwnik Midori Green </w:t>
            </w:r>
            <w:proofErr w:type="spellStart"/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Advance</w:t>
            </w:r>
            <w:proofErr w:type="spellEnd"/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DNA </w:t>
            </w:r>
            <w:proofErr w:type="spellStart"/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Stain</w:t>
            </w:r>
            <w:proofErr w:type="spellEnd"/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do barwienia żeli </w:t>
            </w:r>
            <w:proofErr w:type="spellStart"/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agarozowych</w:t>
            </w:r>
            <w:proofErr w:type="spellEnd"/>
            <w:r w:rsidRPr="00CE506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CE5060">
              <w:rPr>
                <w:rFonts w:ascii="Arial" w:hAnsi="Arial" w:cs="Arial"/>
                <w:sz w:val="18"/>
                <w:szCs w:val="18"/>
              </w:rPr>
              <w:t xml:space="preserve"> 1 op. = 1 </w:t>
            </w:r>
            <w:proofErr w:type="spellStart"/>
            <w:r w:rsidRPr="00CE5060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CE5060">
              <w:rPr>
                <w:rFonts w:ascii="Arial" w:hAnsi="Arial" w:cs="Arial"/>
                <w:sz w:val="18"/>
                <w:szCs w:val="18"/>
              </w:rPr>
              <w:t xml:space="preserve">. Okres przydatności nie krótszy niż 12 miesięcy od daty dostawy. Produkt identyczny lub równoważny z produktem o nr kat. </w:t>
            </w:r>
            <w:r w:rsidRPr="00CE5060">
              <w:rPr>
                <w:rFonts w:ascii="Arial" w:hAnsi="Arial" w:cs="Arial"/>
                <w:color w:val="333333"/>
                <w:sz w:val="18"/>
                <w:szCs w:val="18"/>
              </w:rPr>
              <w:t>MG 04.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Pr="00CE5060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060"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tab/>
      </w:r>
    </w:p>
    <w:p w:rsidR="00875735" w:rsidRDefault="00875735" w:rsidP="0087573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875735" w:rsidRDefault="00875735" w:rsidP="008757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027FDC" w:rsidRDefault="00027FDC" w:rsidP="00875735"/>
    <w:p w:rsidR="00027FDC" w:rsidRDefault="00027FDC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>
      <w:pPr>
        <w:jc w:val="right"/>
      </w:pPr>
      <w:r>
        <w:lastRenderedPageBreak/>
        <w:t>Załącznik nr 4.6.</w:t>
      </w:r>
    </w:p>
    <w:p w:rsidR="00875735" w:rsidRDefault="00875735" w:rsidP="00875735">
      <w:pPr>
        <w:jc w:val="both"/>
      </w:pPr>
      <w:r>
        <w:t>Zadanie nr 6</w:t>
      </w: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tbl>
      <w:tblPr>
        <w:tblW w:w="1053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5"/>
        <w:gridCol w:w="1072"/>
        <w:gridCol w:w="1384"/>
        <w:gridCol w:w="919"/>
        <w:gridCol w:w="1122"/>
        <w:gridCol w:w="1122"/>
        <w:gridCol w:w="1617"/>
      </w:tblGrid>
      <w:tr w:rsidR="003B589B" w:rsidRPr="00027FDC" w:rsidTr="00EF2E9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Cena jednostkowa  netto PLN</w:t>
            </w:r>
          </w:p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(za 1 opak.)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EF2E9D" w:rsidRDefault="003B589B" w:rsidP="003B589B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2E9D">
              <w:rPr>
                <w:rFonts w:ascii="Arial" w:hAnsi="Arial" w:cs="Arial"/>
                <w:color w:val="000000"/>
              </w:rPr>
              <w:t xml:space="preserve">(ilość opakowań  x cena jedn. </w:t>
            </w:r>
            <w:proofErr w:type="spellStart"/>
            <w:r w:rsidRPr="00EF2E9D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EF2E9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89B" w:rsidRPr="00027FDC" w:rsidRDefault="003B589B" w:rsidP="003B589B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27FDC"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3B589B" w:rsidTr="00EF2E9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Default="003B589B" w:rsidP="003B589B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Pr="00027FDC" w:rsidRDefault="003B589B" w:rsidP="003B589B">
            <w:pPr>
              <w:spacing w:before="240"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Woda jałowa, dejonizowana, wolna  od </w:t>
            </w:r>
            <w:proofErr w:type="spellStart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endonukleaz</w:t>
            </w:r>
            <w:proofErr w:type="spellEnd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egzonukleaz</w:t>
            </w:r>
            <w:proofErr w:type="spellEnd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DNAzy</w:t>
            </w:r>
            <w:proofErr w:type="spellEnd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RNAzy</w:t>
            </w:r>
            <w:proofErr w:type="spellEnd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traktowana DEPC. Gotowa                    do użycia w aplikacjach związanych z RNA oraz w technikach biologii molekularnej, wymagających całkowitej inaktywacji </w:t>
            </w:r>
            <w:proofErr w:type="spellStart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RNAz</w:t>
            </w:r>
            <w:proofErr w:type="spellEnd"/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lub najwyższej czystości.  1 op. = 25 x 1.5 ml. Okres przydatności nie krótszy niż 12 miesięcy od daty dostawy. Produkt identyczny lub równoważny z produktem o nr kat. 003-575.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9B" w:rsidRPr="00EF2E9D" w:rsidRDefault="003B589B" w:rsidP="003B58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B" w:rsidRDefault="003B589B" w:rsidP="003B589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9B" w:rsidRDefault="003B589B" w:rsidP="003B589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875735" w:rsidRDefault="00875735" w:rsidP="00875735">
      <w:pPr>
        <w:jc w:val="right"/>
      </w:pPr>
      <w:r>
        <w:tab/>
      </w:r>
    </w:p>
    <w:p w:rsidR="00875735" w:rsidRDefault="00875735" w:rsidP="00875735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875735" w:rsidRDefault="00875735" w:rsidP="008757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75735" w:rsidRDefault="00875735" w:rsidP="00875735">
      <w:pPr>
        <w:jc w:val="both"/>
      </w:pPr>
    </w:p>
    <w:p w:rsidR="00875735" w:rsidRDefault="00875735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027FDC" w:rsidRDefault="00027FDC" w:rsidP="00875735">
      <w:pPr>
        <w:jc w:val="both"/>
      </w:pPr>
    </w:p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875735" w:rsidRDefault="00875735" w:rsidP="00875735"/>
    <w:p w:rsidR="00EF2E9D" w:rsidRDefault="00EF2E9D" w:rsidP="00875735"/>
    <w:p w:rsidR="00EF2E9D" w:rsidRDefault="00EF2E9D" w:rsidP="00875735"/>
    <w:p w:rsidR="00875735" w:rsidRDefault="00875735" w:rsidP="00875735"/>
    <w:p w:rsidR="00027FDC" w:rsidRDefault="00027FDC" w:rsidP="00027FDC">
      <w:pPr>
        <w:jc w:val="right"/>
      </w:pPr>
      <w:r>
        <w:lastRenderedPageBreak/>
        <w:t>Załącznik nr 4.7.</w:t>
      </w:r>
    </w:p>
    <w:p w:rsidR="00027FDC" w:rsidRPr="00E700BD" w:rsidRDefault="00027FDC" w:rsidP="00027FDC">
      <w:pPr>
        <w:jc w:val="both"/>
      </w:pPr>
      <w:r>
        <w:t>Z</w:t>
      </w:r>
      <w:r w:rsidRPr="00E700BD">
        <w:t>adanie nr 7</w:t>
      </w:r>
    </w:p>
    <w:p w:rsidR="00027FDC" w:rsidRPr="00E700BD" w:rsidRDefault="00027FDC" w:rsidP="00027FDC">
      <w:pPr>
        <w:jc w:val="both"/>
      </w:pPr>
    </w:p>
    <w:tbl>
      <w:tblPr>
        <w:tblW w:w="1028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18"/>
        <w:gridCol w:w="1063"/>
        <w:gridCol w:w="1382"/>
        <w:gridCol w:w="917"/>
        <w:gridCol w:w="1126"/>
        <w:gridCol w:w="1118"/>
        <w:gridCol w:w="1297"/>
      </w:tblGrid>
      <w:tr w:rsidR="00027FDC" w:rsidRPr="00EF2E9D" w:rsidTr="00027FDC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Ilość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Cena jednostkowa  netto PLN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 xml:space="preserve">(ilość opakowań  x cena jedn. </w:t>
            </w:r>
            <w:proofErr w:type="spellStart"/>
            <w:r w:rsidRPr="00EF2E9D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EF2E9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F2E9D" w:rsidRPr="00E700BD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027FDC" w:rsidRPr="00E700BD" w:rsidRDefault="00027FDC" w:rsidP="00027FDC">
            <w:pPr>
              <w:jc w:val="center"/>
              <w:rPr>
                <w:color w:val="000000"/>
              </w:rPr>
            </w:pPr>
            <w:r w:rsidRPr="00E700BD">
              <w:rPr>
                <w:color w:val="000000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027FDC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FDC">
              <w:rPr>
                <w:rFonts w:ascii="Arial" w:hAnsi="Arial" w:cs="Arial"/>
                <w:sz w:val="18"/>
                <w:szCs w:val="18"/>
              </w:rPr>
              <w:t xml:space="preserve">Produkt biobójczy; udział wagowy komponentów: etanol (63,3%), propan-2-ol (6,0%); oraz propan-1-ol (0,7%).                            </w:t>
            </w:r>
          </w:p>
          <w:p w:rsidR="00027FDC" w:rsidRPr="00027FDC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FDC">
              <w:rPr>
                <w:rFonts w:ascii="Arial" w:hAnsi="Arial" w:cs="Arial"/>
                <w:sz w:val="18"/>
                <w:szCs w:val="18"/>
              </w:rPr>
              <w:t>1 op. = 10L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27FDC" w:rsidRPr="00027FDC" w:rsidRDefault="00027FDC" w:rsidP="00382C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FDC">
              <w:rPr>
                <w:rFonts w:ascii="Arial" w:hAnsi="Arial" w:cs="Arial"/>
                <w:color w:val="000000"/>
                <w:sz w:val="18"/>
                <w:szCs w:val="18"/>
              </w:rPr>
              <w:t>3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</w:tbl>
    <w:p w:rsidR="00027FDC" w:rsidRPr="00E700BD" w:rsidRDefault="00027FDC" w:rsidP="00027FDC">
      <w:r w:rsidRPr="00E700BD">
        <w:tab/>
      </w:r>
    </w:p>
    <w:p w:rsidR="00027FDC" w:rsidRDefault="00027FDC" w:rsidP="00027FDC">
      <w:pPr>
        <w:ind w:left="5812"/>
        <w:jc w:val="both"/>
      </w:pPr>
      <w:r w:rsidRPr="00E700BD">
        <w:tab/>
      </w:r>
      <w:r w:rsidRPr="00E700BD">
        <w:tab/>
      </w: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  <w:r>
        <w:t>………………………………………</w:t>
      </w:r>
    </w:p>
    <w:p w:rsidR="00027FDC" w:rsidRPr="00E700BD" w:rsidRDefault="00027FDC" w:rsidP="00027FDC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  <w:r w:rsidRPr="00E700BD">
        <w:tab/>
      </w:r>
      <w:r w:rsidRPr="00E700BD">
        <w:tab/>
      </w:r>
      <w:r w:rsidRPr="00E700BD">
        <w:tab/>
        <w:t xml:space="preserve">                                      </w:t>
      </w:r>
    </w:p>
    <w:p w:rsidR="00027FDC" w:rsidRPr="00E700BD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>
      <w:pPr>
        <w:jc w:val="right"/>
      </w:pPr>
      <w:r>
        <w:lastRenderedPageBreak/>
        <w:t>Załącznik nr 4.8.</w:t>
      </w:r>
    </w:p>
    <w:p w:rsidR="00027FDC" w:rsidRDefault="00027FDC" w:rsidP="00027FDC"/>
    <w:p w:rsidR="00027FDC" w:rsidRDefault="00027FDC" w:rsidP="00027FDC">
      <w:r>
        <w:t>Zadanie nr 8</w:t>
      </w:r>
    </w:p>
    <w:p w:rsidR="00027FDC" w:rsidRPr="00E700BD" w:rsidRDefault="00027FDC" w:rsidP="00027FDC"/>
    <w:tbl>
      <w:tblPr>
        <w:tblW w:w="1032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48"/>
        <w:gridCol w:w="822"/>
        <w:gridCol w:w="1384"/>
        <w:gridCol w:w="919"/>
        <w:gridCol w:w="1127"/>
        <w:gridCol w:w="1122"/>
        <w:gridCol w:w="1531"/>
      </w:tblGrid>
      <w:tr w:rsidR="00027FDC" w:rsidRPr="00EF2E9D" w:rsidTr="00027FDC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22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Ilość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Cena jednostkowa  netto PLN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 xml:space="preserve">(za 1 </w:t>
            </w:r>
            <w:r w:rsidR="003B589B">
              <w:rPr>
                <w:rFonts w:ascii="Arial" w:hAnsi="Arial" w:cs="Arial"/>
                <w:color w:val="000000"/>
              </w:rPr>
              <w:t>sztukę</w:t>
            </w:r>
            <w:r w:rsidRPr="00EF2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 xml:space="preserve">(ilość </w:t>
            </w:r>
            <w:r w:rsidR="00005F35">
              <w:rPr>
                <w:rFonts w:ascii="Arial" w:hAnsi="Arial" w:cs="Arial"/>
                <w:color w:val="000000"/>
              </w:rPr>
              <w:t xml:space="preserve">sztuk </w:t>
            </w:r>
            <w:r w:rsidRPr="00EF2E9D">
              <w:rPr>
                <w:rFonts w:ascii="Arial" w:hAnsi="Arial" w:cs="Arial"/>
                <w:color w:val="000000"/>
              </w:rPr>
              <w:t xml:space="preserve">x cena jedn. </w:t>
            </w:r>
            <w:r w:rsidR="003B589B">
              <w:rPr>
                <w:rFonts w:ascii="Arial" w:hAnsi="Arial" w:cs="Arial"/>
                <w:color w:val="000000"/>
              </w:rPr>
              <w:t>szt</w:t>
            </w:r>
            <w:r w:rsidRPr="00EF2E9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027FDC" w:rsidRPr="00E700BD" w:rsidTr="00027FDC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027FDC" w:rsidRPr="006E5066" w:rsidRDefault="00027FDC" w:rsidP="00307D9E">
            <w:pPr>
              <w:jc w:val="center"/>
              <w:rPr>
                <w:color w:val="000000"/>
              </w:rPr>
            </w:pPr>
            <w:r w:rsidRPr="006E5066">
              <w:rPr>
                <w:color w:val="000000"/>
              </w:rPr>
              <w:t>1.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7FDC" w:rsidRPr="00027FDC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FDC">
              <w:rPr>
                <w:rFonts w:ascii="Arial" w:hAnsi="Arial" w:cs="Arial"/>
                <w:sz w:val="18"/>
                <w:szCs w:val="18"/>
              </w:rPr>
              <w:t xml:space="preserve">Zestaw do izolacji RNA z komórek                        na kolumienkach umożliwiający izolację RNA ze 100.00 do 5.000.000 komórek </w:t>
            </w:r>
            <w:proofErr w:type="spellStart"/>
            <w:r w:rsidRPr="00027FDC">
              <w:rPr>
                <w:rFonts w:ascii="Arial" w:hAnsi="Arial" w:cs="Arial"/>
                <w:sz w:val="18"/>
                <w:szCs w:val="18"/>
              </w:rPr>
              <w:t>ssaczych</w:t>
            </w:r>
            <w:proofErr w:type="spellEnd"/>
            <w:r w:rsidRPr="00027FDC">
              <w:rPr>
                <w:rFonts w:ascii="Arial" w:hAnsi="Arial" w:cs="Arial"/>
                <w:sz w:val="18"/>
                <w:szCs w:val="18"/>
              </w:rPr>
              <w:t xml:space="preserve">. Zestaw musi zawierać </w:t>
            </w:r>
            <w:proofErr w:type="spellStart"/>
            <w:r w:rsidRPr="00027FDC">
              <w:rPr>
                <w:rFonts w:ascii="Arial" w:hAnsi="Arial" w:cs="Arial"/>
                <w:sz w:val="18"/>
                <w:szCs w:val="18"/>
              </w:rPr>
              <w:t>DNazę</w:t>
            </w:r>
            <w:proofErr w:type="spellEnd"/>
            <w:r w:rsidRPr="00027FDC">
              <w:rPr>
                <w:rFonts w:ascii="Arial" w:hAnsi="Arial" w:cs="Arial"/>
                <w:sz w:val="18"/>
                <w:szCs w:val="18"/>
              </w:rPr>
              <w:t xml:space="preserve">                   w wysokim stężeniu, którą można używać bezpośrednio na membranie kolumienki. Zestaw zawiera ponadto 1-Thioglycerol do szybkiej inaktywacji rybonukleaz. Zestaw musi umożliwiać </w:t>
            </w:r>
            <w:proofErr w:type="spellStart"/>
            <w:r w:rsidRPr="00027FDC">
              <w:rPr>
                <w:rFonts w:ascii="Arial" w:hAnsi="Arial" w:cs="Arial"/>
                <w:sz w:val="18"/>
                <w:szCs w:val="18"/>
              </w:rPr>
              <w:t>elucję</w:t>
            </w:r>
            <w:proofErr w:type="spellEnd"/>
            <w:r w:rsidRPr="00027FDC">
              <w:rPr>
                <w:rFonts w:ascii="Arial" w:hAnsi="Arial" w:cs="Arial"/>
                <w:sz w:val="18"/>
                <w:szCs w:val="18"/>
              </w:rPr>
              <w:t xml:space="preserve"> RNA w objętości poniżej 15uL. Zestaw musi umożliwiać przeprowadzenie izolacji RNA                                z komórek w czasie nie dłuższym niż 30 minut. Zestaw musi wystarczyć  do przeprowadzenia 250 izolacji RNA  z komórek. </w:t>
            </w:r>
            <w:r w:rsidRPr="00027F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Okres przydatności nie krótszy niż 12 miesięcy od daty dostawy. Produkt identyczny lub równoważny                     z produktem o nr kat. Z6012.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27FDC" w:rsidRPr="00027FDC" w:rsidRDefault="00027FDC" w:rsidP="00382C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FDC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382C84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027FD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</w:tbl>
    <w:p w:rsidR="00027FDC" w:rsidRDefault="00027FDC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EF2E9D">
      <w:pPr>
        <w:ind w:left="5812"/>
        <w:jc w:val="both"/>
      </w:pPr>
      <w:r>
        <w:t>………………………………………</w:t>
      </w:r>
    </w:p>
    <w:p w:rsidR="00EF2E9D" w:rsidRDefault="00EF2E9D" w:rsidP="00EF2E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EF2E9D" w:rsidRDefault="00EF2E9D" w:rsidP="00027FDC"/>
    <w:p w:rsidR="00B97286" w:rsidRDefault="00B97286" w:rsidP="00027FDC"/>
    <w:p w:rsidR="00EF2E9D" w:rsidRDefault="00EF2E9D" w:rsidP="00027FDC"/>
    <w:p w:rsidR="00EF2E9D" w:rsidRDefault="00EF2E9D" w:rsidP="00027FDC"/>
    <w:p w:rsidR="00EF2E9D" w:rsidRDefault="00EF2E9D" w:rsidP="00EF2E9D">
      <w:pPr>
        <w:jc w:val="right"/>
      </w:pPr>
      <w:r w:rsidRPr="00EF2E9D">
        <w:lastRenderedPageBreak/>
        <w:t>Załącznik nr 4.</w:t>
      </w:r>
      <w:r>
        <w:t>9.</w:t>
      </w:r>
    </w:p>
    <w:p w:rsidR="00027FDC" w:rsidRPr="00E700BD" w:rsidRDefault="00027FDC" w:rsidP="00027FDC">
      <w:r>
        <w:t>Zadanie nr 9</w:t>
      </w:r>
    </w:p>
    <w:p w:rsidR="00027FDC" w:rsidRPr="00E700BD" w:rsidRDefault="00027FDC" w:rsidP="00027FDC"/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106"/>
        <w:gridCol w:w="1068"/>
        <w:gridCol w:w="1383"/>
        <w:gridCol w:w="899"/>
        <w:gridCol w:w="1134"/>
        <w:gridCol w:w="1132"/>
        <w:gridCol w:w="1297"/>
      </w:tblGrid>
      <w:tr w:rsidR="00EF2E9D" w:rsidRPr="00EF2E9D" w:rsidTr="00EF2E9D">
        <w:trPr>
          <w:cantSplit/>
          <w:trHeight w:val="624"/>
          <w:jc w:val="center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Cena jednostkowa  netto PLN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(za 1 opakowanie)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 xml:space="preserve">(ilość opakowań  x cena jedn. </w:t>
            </w:r>
            <w:proofErr w:type="spellStart"/>
            <w:r w:rsidRPr="00EF2E9D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EF2E9D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7FDC" w:rsidRPr="00EF2E9D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 xml:space="preserve">Woda wolna od nukleaz. Bez inhibitorów - woda bez chemicznych dodatków, niepoddawana obróbce chemicznej. 1 op. = 2 x 25mL. </w:t>
            </w:r>
            <w:r w:rsidRPr="00EF2E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Okres przydatności nie krótszy niż 12 miesięcy od daty dostawy. Produkt identyczny lub równoważny                     z produktem o nr kat. P1193.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1943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7FDC" w:rsidRPr="00EF2E9D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Bufor do elektroforezy TBE (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Tris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borate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>-EDTA) 10X (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 = 8.3) składający się                        z 890mM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Tris-borate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, 890mM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kwau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 borowego oraz 20mM EDTA,   do biologii molekularnej. 1 op. = 1 L </w:t>
            </w:r>
            <w:r w:rsidRPr="00EF2E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Okres przydatności nie krótszy niż 12 miesięcy od daty dostawy. Produkt identyczny lub równoważny z produktem o nr kat. V4251.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027FDC" w:rsidRPr="00EF2E9D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Bufor do elektroforezy TAE (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Tris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acetate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-EDTA) 40X, składający się                         z  1.6M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Tris-acetate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, 40mM EDTA,                   do biologii molekularnej, 1 op. = 1L. </w:t>
            </w:r>
            <w:r w:rsidRPr="00EF2E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Okres przydatności nie krótszy niż 12 miesięcy od daty dostawy. Produkt identyczny lub równoważny z produktem o nr kat. </w:t>
            </w:r>
            <w:r w:rsidRPr="00EF2E9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V4281.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6923" w:type="dxa"/>
            <w:gridSpan w:val="5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  <w:r w:rsidRPr="00E700BD">
              <w:rPr>
                <w:color w:val="000000" w:themeColor="text1"/>
              </w:rPr>
              <w:t>Razem:</w:t>
            </w:r>
          </w:p>
        </w:tc>
        <w:tc>
          <w:tcPr>
            <w:tcW w:w="1134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  <w:r w:rsidRPr="00E700BD">
              <w:rPr>
                <w:color w:val="000000" w:themeColor="text1"/>
              </w:rPr>
              <w:t>-</w:t>
            </w:r>
          </w:p>
        </w:tc>
      </w:tr>
    </w:tbl>
    <w:p w:rsidR="00027FDC" w:rsidRPr="00E700BD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EF2E9D" w:rsidRDefault="00EF2E9D" w:rsidP="00EF2E9D">
      <w:pPr>
        <w:ind w:left="5664"/>
      </w:pPr>
      <w:r>
        <w:t>………………………………………</w:t>
      </w:r>
    </w:p>
    <w:p w:rsidR="00027FDC" w:rsidRDefault="00EF2E9D" w:rsidP="00EF2E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27FDC" w:rsidRDefault="00027FDC" w:rsidP="00027FDC"/>
    <w:p w:rsidR="00027FDC" w:rsidRDefault="00027FDC" w:rsidP="00027FDC"/>
    <w:p w:rsidR="00027FDC" w:rsidRDefault="00027FDC" w:rsidP="00027FDC"/>
    <w:p w:rsidR="00027FDC" w:rsidRDefault="00027FDC" w:rsidP="00027FDC"/>
    <w:p w:rsidR="00EF2E9D" w:rsidRDefault="00EF2E9D" w:rsidP="00027FDC"/>
    <w:p w:rsidR="00EF2E9D" w:rsidRDefault="00EF2E9D" w:rsidP="00027FDC"/>
    <w:p w:rsidR="00EF2E9D" w:rsidRPr="00E700BD" w:rsidRDefault="00EF2E9D" w:rsidP="00EF2E9D">
      <w:pPr>
        <w:jc w:val="right"/>
      </w:pPr>
      <w:r w:rsidRPr="00EF2E9D">
        <w:lastRenderedPageBreak/>
        <w:t>Załącznik nr 4.</w:t>
      </w:r>
      <w:r>
        <w:t>10.</w:t>
      </w:r>
    </w:p>
    <w:p w:rsidR="00027FDC" w:rsidRPr="00E700BD" w:rsidRDefault="00027FDC" w:rsidP="00027FDC">
      <w:r>
        <w:t>Zadanie nr 10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42"/>
        <w:gridCol w:w="1140"/>
        <w:gridCol w:w="1454"/>
        <w:gridCol w:w="796"/>
        <w:gridCol w:w="1319"/>
        <w:gridCol w:w="1082"/>
        <w:gridCol w:w="1539"/>
      </w:tblGrid>
      <w:tr w:rsidR="00EF2E9D" w:rsidRPr="00EF2E9D" w:rsidTr="00EF2E9D">
        <w:trPr>
          <w:cantSplit/>
          <w:trHeight w:val="62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Cena jednostkowa  netto PLN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(za 1 opak</w:t>
            </w:r>
            <w:r w:rsidR="003B589B">
              <w:rPr>
                <w:rFonts w:ascii="Arial" w:hAnsi="Arial" w:cs="Arial"/>
                <w:color w:val="000000"/>
              </w:rPr>
              <w:t>./szt.</w:t>
            </w:r>
            <w:r w:rsidRPr="00EF2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netto</w:t>
            </w:r>
          </w:p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(ilość opak</w:t>
            </w:r>
            <w:r w:rsidR="00005F35">
              <w:rPr>
                <w:rFonts w:ascii="Arial" w:hAnsi="Arial" w:cs="Arial"/>
                <w:color w:val="000000"/>
              </w:rPr>
              <w:t>./szt.</w:t>
            </w:r>
            <w:r w:rsidRPr="00EF2E9D">
              <w:rPr>
                <w:rFonts w:ascii="Arial" w:hAnsi="Arial" w:cs="Arial"/>
                <w:color w:val="000000"/>
              </w:rPr>
              <w:t xml:space="preserve">  x cena jedn. </w:t>
            </w:r>
            <w:proofErr w:type="spellStart"/>
            <w:r w:rsidRPr="00EF2E9D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EF2E9D">
              <w:rPr>
                <w:rFonts w:ascii="Arial" w:hAnsi="Arial" w:cs="Arial"/>
                <w:color w:val="000000"/>
              </w:rPr>
              <w:t>.</w:t>
            </w:r>
            <w:r w:rsidR="003B589B">
              <w:rPr>
                <w:rFonts w:ascii="Arial" w:hAnsi="Arial" w:cs="Arial"/>
                <w:color w:val="000000"/>
              </w:rPr>
              <w:t>/szt.</w:t>
            </w:r>
            <w:r w:rsidRPr="00EF2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  <w:hideMark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2E9D" w:rsidRDefault="00027FDC" w:rsidP="00EF2E9D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 xml:space="preserve">Aparat do elektroforezy białek                           i kwasów nukleinowych. Charakteryzujące się następującymi cechami:                                                                                  - Aparat musi umożliwiać pionową elektroforezę białek i kwasów nukleinowych dla czterech żeli                                                       o wymiarach 8,3 × 7,3cm.                                                - Aparat musi zawierać komorę elektroforetyczną z pokrywą i kablami.                 </w:t>
            </w:r>
          </w:p>
          <w:p w:rsidR="00EF2E9D" w:rsidRDefault="00027FDC" w:rsidP="00EF2E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- Aparat musi posiadać wkład do wylewania i umieszczania żeli w komorze.                                                         - Aparat musi być wyposażony dodatkowo w zestaw do wylewania żeli w postaci: 2 stojaków, płytek szklanych z przekładkami o grubości 1,0 mm (5 szt.), małych płytek (5 szt.), grzebieni 10 zębowe o grubości 1,0mm (5 szt.), 2 szt. gumek oraz 10 dołkowego „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loading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guide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”.                                                                                  - Aparat musi mieć wymiary: 12x16x18cm oraz wagę około 1kg.                               </w:t>
            </w:r>
          </w:p>
          <w:p w:rsidR="00027FDC" w:rsidRPr="00EF2E9D" w:rsidRDefault="00027FDC" w:rsidP="00EF2E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- Czas prowadzenia elektroforezy SDS-PAGE w aparacie przy 200V musi zawierać się w przedziale 35-45min.</w:t>
            </w:r>
          </w:p>
          <w:p w:rsidR="00027FDC" w:rsidRPr="00EF2E9D" w:rsidRDefault="00027FDC" w:rsidP="00307D9E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Okres gwarancji nie krótszy niż 12 miesięcy od daty dostawy. Produkt identyczny lub równoważny z produktem o nr kat. 1658001FC.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27FDC" w:rsidRPr="00EF2E9D" w:rsidRDefault="00027FDC" w:rsidP="00382C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382C84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27FDC" w:rsidRPr="00EF2E9D" w:rsidRDefault="00027FDC" w:rsidP="00307D9E">
            <w:pPr>
              <w:spacing w:before="240"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Aparat przeznaczony do transferu na mokro białek z żelu na membranę zawierający dwie kasety wyposażone w 4szt. gąbki. Aparat musi zawierać rdzeń chłodzący.                                                     Okres gwarancji nie krótszy                      niż 12 miesięcy od daty dostawy.                           Produkt identyczny lub równoważny z produktem o nr kat. 1703935.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27FDC" w:rsidRPr="00EF2E9D" w:rsidRDefault="00027FDC" w:rsidP="00382C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382C84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27FDC" w:rsidRPr="00EF2E9D" w:rsidRDefault="00027FDC" w:rsidP="00307D9E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 xml:space="preserve">Zestaw odczynników startowych                            do przeprowadzenia elektroforezy białek   i kwasów nukleinowych.                                    Zestaw ten musi zawierać:                                                                                                                                                                                            - Marker białkowy o obj. 500uL                   (10 rekombinowanych białek  w zakresie 10-250kDa, 10 niebieskich prążków) umożliwiający co najmniej 50 aplikacji.                                                                                               - Bufor do szybkiego blokowania w 5 min.,  obj. 500mL.                                                              - Substrat do wywoływania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blotów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 metodą kolorymetryczną: czułość do 5pg białka, kit musi zawiera substrat oraz zestaw odczynników do wywoływania, 10xPBS.                                                   </w:t>
            </w:r>
          </w:p>
          <w:p w:rsidR="00027FDC" w:rsidRPr="00EF2E9D" w:rsidRDefault="00027FDC" w:rsidP="00307D9E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Okres przydatności każdego z osobna  elementu zestawu nie krótszy niż 12 miesięcy od daty dostawy. Produkty identyczne lub równoważne z produktami              o nr kat. 1610373, 12010020, 1708235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348BF" w:rsidRDefault="00027FDC" w:rsidP="000348BF">
            <w:pPr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 xml:space="preserve">Zestaw odczynników startowych                            do przeprowadzenia elektroforezy białek i kwasów nukleinowych.                                    Zestaw ten musi zawierać:                                    - 10 ml 4x stężonego buforu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próbkowego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 do elektroforezy białek.                                                                     - 10x stężony bufor do elektroforezy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Tris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/Glicyna SDS, obj. 1L.                                                                                       - 10x stężony bufor do elektroforezy 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Tris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>/ Glicyna, obj. 1L.                                             - Kit do wylewania żeli poliakrylamidowych 10%, który starcza na 65 żeli o grubości 1.0mm, 45 żeli o grubości 1.5mm lub 95 żeli o grubości 0.75mm.                                                                                                                       - TEMED, obj. 5mL                                                                          - APS w proszku, o masie 10g.                                     - 2 β-</w:t>
            </w:r>
            <w:proofErr w:type="spellStart"/>
            <w:r w:rsidRPr="00EF2E9D">
              <w:rPr>
                <w:rFonts w:ascii="Arial" w:hAnsi="Arial" w:cs="Arial"/>
                <w:sz w:val="18"/>
                <w:szCs w:val="18"/>
              </w:rPr>
              <w:t>merkaptoetanol</w:t>
            </w:r>
            <w:proofErr w:type="spellEnd"/>
            <w:r w:rsidRPr="00EF2E9D">
              <w:rPr>
                <w:rFonts w:ascii="Arial" w:hAnsi="Arial" w:cs="Arial"/>
                <w:sz w:val="18"/>
                <w:szCs w:val="18"/>
              </w:rPr>
              <w:t xml:space="preserve">, obj. 25mL.     </w:t>
            </w:r>
          </w:p>
          <w:p w:rsidR="00027FDC" w:rsidRPr="00EF2E9D" w:rsidRDefault="00027FDC" w:rsidP="000348BF">
            <w:pPr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 xml:space="preserve">Okres przydatności każdego z osobna  elementu zestawu nie krótszy niż 12 miesięcy od daty dostawy. Produkty identyczne lub równoważne z produktami           o  nr kat. 1610747, 1610732, 1610734, 1610173, 1610800, 1610700,  1610710.                          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</w:rPr>
            </w:pPr>
            <w:r w:rsidRPr="00EF2E9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27FDC" w:rsidRPr="00EF2E9D" w:rsidRDefault="00027FDC" w:rsidP="000348BF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Zestaw startowy zużywalnych materiałów  do przeprowadzenia elektroforezy białek  i kwasów nukleinowych.                                    Zestaw ten musi zawierać:                             - Membrana PVDF w rolce 26x 3.3m o grubości porów o.2µm.                                - Bibuły filtracyjne o wymiarach 7.5x10cm pakowane w ilości 60szt. ,</w:t>
            </w:r>
            <w:r w:rsidR="0038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E9D">
              <w:rPr>
                <w:rFonts w:ascii="Arial" w:hAnsi="Arial" w:cs="Arial"/>
                <w:sz w:val="18"/>
                <w:szCs w:val="18"/>
              </w:rPr>
              <w:t>ekstra grube.</w:t>
            </w:r>
          </w:p>
          <w:p w:rsidR="00027FDC" w:rsidRPr="00EF2E9D" w:rsidRDefault="00027FDC" w:rsidP="000348BF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 w:rsidRPr="00EF2E9D">
              <w:rPr>
                <w:rFonts w:ascii="Arial" w:hAnsi="Arial" w:cs="Arial"/>
                <w:sz w:val="18"/>
                <w:szCs w:val="18"/>
              </w:rPr>
              <w:t>Okres przydatności każdego z osobna  elementu zestawu nie krótszy niż 12 miesięcy od daty dostawy. Produkty identyczne lub równoważne z produktami              o nr kat. 1620177, 1703965.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/>
              </w:rPr>
            </w:pPr>
          </w:p>
        </w:tc>
      </w:tr>
      <w:tr w:rsidR="00027FDC" w:rsidRPr="00E700BD" w:rsidTr="00EF2E9D">
        <w:trPr>
          <w:cantSplit/>
          <w:trHeight w:val="624"/>
          <w:jc w:val="center"/>
        </w:trPr>
        <w:tc>
          <w:tcPr>
            <w:tcW w:w="6852" w:type="dxa"/>
            <w:gridSpan w:val="5"/>
            <w:shd w:val="clear" w:color="auto" w:fill="auto"/>
            <w:vAlign w:val="center"/>
          </w:tcPr>
          <w:p w:rsidR="00027FDC" w:rsidRPr="00EF2E9D" w:rsidRDefault="00027FDC" w:rsidP="00307D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F2E9D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17" w:type="dxa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27FDC" w:rsidRPr="00E700BD" w:rsidRDefault="00027FDC" w:rsidP="00307D9E">
            <w:pPr>
              <w:jc w:val="center"/>
              <w:rPr>
                <w:color w:val="000000" w:themeColor="text1"/>
              </w:rPr>
            </w:pPr>
            <w:r w:rsidRPr="00E700BD">
              <w:rPr>
                <w:color w:val="000000" w:themeColor="text1"/>
              </w:rPr>
              <w:t>-</w:t>
            </w:r>
          </w:p>
        </w:tc>
      </w:tr>
    </w:tbl>
    <w:p w:rsidR="00027FDC" w:rsidRPr="00E700BD" w:rsidRDefault="00027FDC" w:rsidP="00027FDC"/>
    <w:p w:rsidR="00027FDC" w:rsidRDefault="00027FDC" w:rsidP="00027FDC"/>
    <w:p w:rsidR="00382236" w:rsidRDefault="00382236" w:rsidP="00382236">
      <w:pPr>
        <w:ind w:left="5664"/>
      </w:pPr>
      <w:r>
        <w:t>………………………………………</w:t>
      </w:r>
    </w:p>
    <w:p w:rsidR="00027FDC" w:rsidRDefault="00382236" w:rsidP="00382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0348BF" w:rsidRDefault="000348BF" w:rsidP="00382236">
      <w:pPr>
        <w:jc w:val="right"/>
      </w:pPr>
    </w:p>
    <w:p w:rsidR="000348BF" w:rsidRDefault="000348BF" w:rsidP="00382236">
      <w:pPr>
        <w:jc w:val="right"/>
      </w:pPr>
    </w:p>
    <w:p w:rsidR="000348BF" w:rsidRDefault="000348BF" w:rsidP="00382236">
      <w:pPr>
        <w:jc w:val="right"/>
      </w:pPr>
    </w:p>
    <w:p w:rsidR="00382236" w:rsidRDefault="00382236" w:rsidP="00382236">
      <w:pPr>
        <w:jc w:val="right"/>
      </w:pPr>
      <w:bookmarkStart w:id="3" w:name="_GoBack"/>
      <w:bookmarkEnd w:id="3"/>
      <w:r>
        <w:lastRenderedPageBreak/>
        <w:t>Załącznik nr 4.11.</w:t>
      </w:r>
    </w:p>
    <w:p w:rsidR="00382236" w:rsidRDefault="00382236" w:rsidP="00027FDC"/>
    <w:p w:rsidR="00027FDC" w:rsidRDefault="00027FDC" w:rsidP="00027FDC">
      <w:r>
        <w:t>Zadanie nr 11</w:t>
      </w: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jc w:val="both"/>
      </w:pPr>
    </w:p>
    <w:tbl>
      <w:tblPr>
        <w:tblpPr w:leftFromText="141" w:rightFromText="141" w:vertAnchor="text" w:horzAnchor="margin" w:tblpXSpec="center" w:tblpY="1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438"/>
        <w:gridCol w:w="729"/>
        <w:gridCol w:w="1275"/>
        <w:gridCol w:w="796"/>
        <w:gridCol w:w="1131"/>
        <w:gridCol w:w="989"/>
        <w:gridCol w:w="1688"/>
      </w:tblGrid>
      <w:tr w:rsidR="00382236" w:rsidRPr="00382236" w:rsidTr="00382236">
        <w:trPr>
          <w:cantSplit/>
          <w:trHeight w:val="624"/>
        </w:trPr>
        <w:tc>
          <w:tcPr>
            <w:tcW w:w="448" w:type="dxa"/>
            <w:shd w:val="clear" w:color="auto" w:fill="F2F2F2" w:themeFill="background1" w:themeFillShade="F2"/>
            <w:vAlign w:val="center"/>
            <w:hideMark/>
          </w:tcPr>
          <w:p w:rsidR="00382236" w:rsidRPr="00382236" w:rsidRDefault="00382236" w:rsidP="00382236">
            <w:pPr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  <w:hideMark/>
          </w:tcPr>
          <w:p w:rsidR="00382236" w:rsidRPr="00382236" w:rsidRDefault="00382236" w:rsidP="00382236">
            <w:pPr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center"/>
            <w:hideMark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Cena jednostkowa  netto PLN</w:t>
            </w:r>
          </w:p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(za 1 opakowanie)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  <w:hideMark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Wartość netto</w:t>
            </w:r>
          </w:p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 xml:space="preserve">(ilość opakowań  x cena jedn. </w:t>
            </w:r>
            <w:proofErr w:type="spellStart"/>
            <w:r w:rsidRPr="00382236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Pr="00382236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</w:rPr>
            </w:pPr>
            <w:r w:rsidRPr="00382236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382236" w:rsidRPr="00382236" w:rsidTr="00382236">
        <w:trPr>
          <w:cantSplit/>
          <w:trHeight w:val="1849"/>
        </w:trPr>
        <w:tc>
          <w:tcPr>
            <w:tcW w:w="448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2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82236" w:rsidRDefault="00382236" w:rsidP="00382236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82236">
              <w:rPr>
                <w:rFonts w:ascii="Arial" w:hAnsi="Arial" w:cs="Arial"/>
                <w:sz w:val="18"/>
                <w:szCs w:val="18"/>
              </w:rPr>
              <w:t xml:space="preserve">Mysie przeciwciało monoklonalne, skierowane przeciwko fragmentowi N-terminalnemu beta aktyny, klon A2-F6, specyficzność gatunkowa: człowiek, mysz, szczur, </w:t>
            </w:r>
            <w:proofErr w:type="spellStart"/>
            <w:r w:rsidRPr="00382236">
              <w:rPr>
                <w:rFonts w:ascii="Arial" w:hAnsi="Arial" w:cs="Arial"/>
                <w:sz w:val="18"/>
                <w:szCs w:val="18"/>
              </w:rPr>
              <w:t>zwalidowane</w:t>
            </w:r>
            <w:proofErr w:type="spellEnd"/>
            <w:r w:rsidRPr="00382236">
              <w:rPr>
                <w:rFonts w:ascii="Arial" w:hAnsi="Arial" w:cs="Arial"/>
                <w:sz w:val="18"/>
                <w:szCs w:val="18"/>
              </w:rPr>
              <w:t xml:space="preserve"> w następujących technikach: FACS, ICC, IF, IHC-P, WB.                  </w:t>
            </w:r>
          </w:p>
          <w:p w:rsidR="00382236" w:rsidRPr="00382236" w:rsidRDefault="00382236" w:rsidP="00382236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82236">
              <w:rPr>
                <w:rFonts w:ascii="Arial" w:hAnsi="Arial" w:cs="Arial"/>
                <w:sz w:val="18"/>
                <w:szCs w:val="18"/>
              </w:rPr>
              <w:t>1 op. = 100 ul</w:t>
            </w:r>
          </w:p>
          <w:p w:rsidR="00382236" w:rsidRPr="00382236" w:rsidRDefault="00382236" w:rsidP="00382236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82236">
              <w:rPr>
                <w:rFonts w:ascii="Arial" w:hAnsi="Arial" w:cs="Arial"/>
                <w:sz w:val="18"/>
                <w:szCs w:val="18"/>
              </w:rPr>
              <w:t>Okres przydatności przeciwciała nie krótszy niż 12 miesięcy od daty dostawy. Produkt identyczny lub równoważny z produktem o nr kat. orb378579.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236">
              <w:rPr>
                <w:rFonts w:ascii="Arial" w:hAnsi="Arial" w:cs="Arial"/>
                <w:color w:val="000000"/>
                <w:sz w:val="18"/>
                <w:szCs w:val="18"/>
              </w:rPr>
              <w:t xml:space="preserve"> 1 op.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2236" w:rsidRPr="00382236" w:rsidTr="00382236">
        <w:trPr>
          <w:cantSplit/>
          <w:trHeight w:val="624"/>
        </w:trPr>
        <w:tc>
          <w:tcPr>
            <w:tcW w:w="448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2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82236" w:rsidRPr="00382236" w:rsidRDefault="00382236" w:rsidP="00382236">
            <w:pPr>
              <w:rPr>
                <w:rFonts w:ascii="Arial" w:hAnsi="Arial" w:cs="Arial"/>
                <w:sz w:val="18"/>
                <w:szCs w:val="18"/>
              </w:rPr>
            </w:pPr>
            <w:r w:rsidRPr="00382236">
              <w:rPr>
                <w:rFonts w:ascii="Arial" w:hAnsi="Arial" w:cs="Arial"/>
                <w:sz w:val="18"/>
                <w:szCs w:val="18"/>
              </w:rPr>
              <w:t xml:space="preserve">Przeciwciało wtórne końskie anty-mysie </w:t>
            </w:r>
            <w:proofErr w:type="spellStart"/>
            <w:r w:rsidRPr="00382236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382236">
              <w:rPr>
                <w:rFonts w:ascii="Arial" w:hAnsi="Arial" w:cs="Arial"/>
                <w:sz w:val="18"/>
                <w:szCs w:val="18"/>
              </w:rPr>
              <w:t xml:space="preserve"> (H+L) sprzężone z HRP, w stężeniu 1 mg/ml, stosunek molarny HRP do przeciwciała nie mniej niż 3,3. 1 op. = 1 mg</w:t>
            </w:r>
          </w:p>
          <w:p w:rsidR="00382236" w:rsidRPr="00382236" w:rsidRDefault="00382236" w:rsidP="00382236">
            <w:pPr>
              <w:spacing w:before="24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382236">
              <w:rPr>
                <w:rFonts w:ascii="Arial" w:hAnsi="Arial" w:cs="Arial"/>
                <w:sz w:val="18"/>
                <w:szCs w:val="18"/>
              </w:rPr>
              <w:t xml:space="preserve">Okres przydatności przeciwciała nie krótszy niż 12 miesięcy od daty dostawy. Produkt identyczny lub równoważny z produktem o nr kat. </w:t>
            </w:r>
            <w:r w:rsidRPr="003822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PI-2000.</w:t>
            </w:r>
            <w:r w:rsidRPr="0038223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2236">
              <w:rPr>
                <w:rFonts w:ascii="Arial" w:hAnsi="Arial" w:cs="Arial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2236" w:rsidRPr="00382236" w:rsidTr="00382236">
        <w:trPr>
          <w:cantSplit/>
          <w:trHeight w:val="624"/>
        </w:trPr>
        <w:tc>
          <w:tcPr>
            <w:tcW w:w="5665" w:type="dxa"/>
            <w:gridSpan w:val="5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82236">
              <w:rPr>
                <w:rFonts w:ascii="Arial" w:hAnsi="Arial" w:cs="Arial"/>
                <w:color w:val="000000" w:themeColor="text1"/>
              </w:rPr>
              <w:t>Razem:</w:t>
            </w:r>
          </w:p>
        </w:tc>
        <w:tc>
          <w:tcPr>
            <w:tcW w:w="1134" w:type="dxa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82236" w:rsidRPr="00382236" w:rsidRDefault="00382236" w:rsidP="003822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82236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027FDC" w:rsidRDefault="00027FDC" w:rsidP="00027FDC">
      <w:pPr>
        <w:ind w:left="5812"/>
        <w:jc w:val="both"/>
      </w:pPr>
    </w:p>
    <w:p w:rsidR="00382236" w:rsidRDefault="00382236" w:rsidP="00382236">
      <w:pPr>
        <w:ind w:left="5812"/>
        <w:jc w:val="both"/>
      </w:pPr>
      <w:r>
        <w:t>………………………………………</w:t>
      </w:r>
    </w:p>
    <w:p w:rsidR="00382236" w:rsidRDefault="00382236" w:rsidP="003822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38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10" w:rsidRDefault="00C10E10" w:rsidP="00875735">
      <w:r>
        <w:separator/>
      </w:r>
    </w:p>
  </w:endnote>
  <w:endnote w:type="continuationSeparator" w:id="0">
    <w:p w:rsidR="00C10E10" w:rsidRDefault="00C10E10" w:rsidP="008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10" w:rsidRDefault="00C10E10" w:rsidP="00875735">
      <w:r>
        <w:separator/>
      </w:r>
    </w:p>
  </w:footnote>
  <w:footnote w:type="continuationSeparator" w:id="0">
    <w:p w:rsidR="00C10E10" w:rsidRDefault="00C10E10" w:rsidP="00875735">
      <w:r>
        <w:continuationSeparator/>
      </w:r>
    </w:p>
  </w:footnote>
  <w:footnote w:id="1">
    <w:p w:rsidR="003B589B" w:rsidRDefault="003B589B" w:rsidP="008757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3B589B" w:rsidRDefault="003B589B" w:rsidP="00875735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:rsidR="003B589B" w:rsidRDefault="003B589B" w:rsidP="00875735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3B589B" w:rsidRDefault="003B589B" w:rsidP="00875735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:rsidR="003B589B" w:rsidRDefault="003B589B" w:rsidP="00875735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3B589B" w:rsidRDefault="003B589B" w:rsidP="0087573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35"/>
    <w:rsid w:val="00005F35"/>
    <w:rsid w:val="00027FDC"/>
    <w:rsid w:val="000348BF"/>
    <w:rsid w:val="001E1D12"/>
    <w:rsid w:val="00302EFB"/>
    <w:rsid w:val="00307D9E"/>
    <w:rsid w:val="00382236"/>
    <w:rsid w:val="00382C84"/>
    <w:rsid w:val="003B589B"/>
    <w:rsid w:val="003E0CA4"/>
    <w:rsid w:val="00611435"/>
    <w:rsid w:val="00765F85"/>
    <w:rsid w:val="00875735"/>
    <w:rsid w:val="00902295"/>
    <w:rsid w:val="00B97286"/>
    <w:rsid w:val="00C10E10"/>
    <w:rsid w:val="00CE5060"/>
    <w:rsid w:val="00D25A49"/>
    <w:rsid w:val="00DB386D"/>
    <w:rsid w:val="00DE6CE6"/>
    <w:rsid w:val="00E77ADE"/>
    <w:rsid w:val="00EA6FC5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C36"/>
  <w15:chartTrackingRefBased/>
  <w15:docId w15:val="{BA7FA18E-3BAD-42F6-BDB3-4EDED9F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7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7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73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73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7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73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73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73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73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573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7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75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75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5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75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7573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573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57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57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5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5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5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757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7573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87573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875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7573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7573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87573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735"/>
    <w:rPr>
      <w:vertAlign w:val="superscript"/>
    </w:rPr>
  </w:style>
  <w:style w:type="character" w:customStyle="1" w:styleId="FontStyle33">
    <w:name w:val="Font Style33"/>
    <w:rsid w:val="00875735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7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57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75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875735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7573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573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7597</Words>
  <Characters>45588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2020-01-02T20:26:00Z</dcterms:created>
  <dcterms:modified xsi:type="dcterms:W3CDTF">2020-01-02T20:26:00Z</dcterms:modified>
</cp:coreProperties>
</file>